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CDA4EF3" w:rsidR="00FD5533" w:rsidRPr="00546BFA" w:rsidRDefault="00512044" w:rsidP="00AB59BD">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512044">
        <w:rPr>
          <w:rFonts w:ascii="Calibri" w:hAnsi="Calibri" w:cs="Calibri"/>
          <w:color w:val="808080"/>
          <w:sz w:val="36"/>
          <w:szCs w:val="36"/>
          <w:lang w:val="fr-FR"/>
        </w:rPr>
        <w:t>Furch Guitars soutient la préservation des espèces exotiques</w:t>
      </w:r>
    </w:p>
    <w:p w14:paraId="22BCBF84" w14:textId="4690F076"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9F521E" w:rsidRPr="009F521E">
        <w:rPr>
          <w:rFonts w:cs="Calibri"/>
          <w:b/>
          <w:sz w:val="24"/>
          <w:szCs w:val="24"/>
          <w:lang w:val="fr-FR"/>
        </w:rPr>
        <w:t>19</w:t>
      </w:r>
      <w:r w:rsidR="00FD5533" w:rsidRPr="00546BFA">
        <w:rPr>
          <w:rFonts w:cs="Calibri"/>
          <w:b/>
          <w:sz w:val="24"/>
          <w:szCs w:val="24"/>
          <w:lang w:val="fr-FR"/>
        </w:rPr>
        <w:t xml:space="preserve"> </w:t>
      </w:r>
      <w:r w:rsidR="00512044" w:rsidRPr="00512044">
        <w:rPr>
          <w:rFonts w:cs="Calibri"/>
          <w:b/>
          <w:sz w:val="24"/>
          <w:szCs w:val="24"/>
          <w:lang w:val="fr-FR"/>
        </w:rPr>
        <w:t>février</w:t>
      </w:r>
      <w:r w:rsidR="00FD5533" w:rsidRPr="00546BFA">
        <w:rPr>
          <w:rFonts w:cs="Calibri"/>
          <w:b/>
          <w:sz w:val="24"/>
          <w:szCs w:val="24"/>
          <w:lang w:val="fr-FR"/>
        </w:rPr>
        <w:t xml:space="preserve"> 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w:t>
      </w:r>
      <w:r w:rsidR="00512044" w:rsidRPr="00512044">
        <w:rPr>
          <w:rFonts w:cs="Calibri"/>
          <w:b/>
          <w:sz w:val="24"/>
          <w:szCs w:val="24"/>
          <w:lang w:val="fr-FR"/>
        </w:rPr>
        <w:t>fabricant mondial de guitares de haute qualité, a noué une coopération avec</w:t>
      </w:r>
      <w:r w:rsidR="00616FDA" w:rsidRPr="00857D78">
        <w:rPr>
          <w:rFonts w:asciiTheme="minorHAnsi" w:hAnsiTheme="minorHAnsi" w:cstheme="minorHAnsi"/>
          <w:sz w:val="24"/>
          <w:szCs w:val="24"/>
          <w:lang w:val="fr-FR"/>
        </w:rPr>
        <w:t> </w:t>
      </w:r>
      <w:r w:rsidR="00512044" w:rsidRPr="00512044">
        <w:rPr>
          <w:rFonts w:cs="Calibri"/>
          <w:b/>
          <w:sz w:val="24"/>
          <w:szCs w:val="24"/>
          <w:lang w:val="fr-FR"/>
        </w:rPr>
        <w:t xml:space="preserve">la communauté indigène panaméenne </w:t>
      </w:r>
      <w:proofErr w:type="spellStart"/>
      <w:r w:rsidR="00512044" w:rsidRPr="00512044">
        <w:rPr>
          <w:rFonts w:cs="Calibri"/>
          <w:b/>
          <w:sz w:val="24"/>
          <w:szCs w:val="24"/>
          <w:lang w:val="fr-FR"/>
        </w:rPr>
        <w:t>Arimae</w:t>
      </w:r>
      <w:proofErr w:type="spellEnd"/>
      <w:r w:rsidR="00512044" w:rsidRPr="00512044">
        <w:rPr>
          <w:rFonts w:cs="Calibri"/>
          <w:b/>
          <w:sz w:val="24"/>
          <w:szCs w:val="24"/>
          <w:lang w:val="fr-FR"/>
        </w:rPr>
        <w:t>, engagée dans la plantation et</w:t>
      </w:r>
      <w:r w:rsidR="00616FDA" w:rsidRPr="00857D78">
        <w:rPr>
          <w:rFonts w:asciiTheme="minorHAnsi" w:hAnsiTheme="minorHAnsi" w:cstheme="minorHAnsi"/>
          <w:sz w:val="24"/>
          <w:szCs w:val="24"/>
          <w:lang w:val="fr-FR"/>
        </w:rPr>
        <w:t> </w:t>
      </w:r>
      <w:r w:rsidR="00512044" w:rsidRPr="00512044">
        <w:rPr>
          <w:rFonts w:cs="Calibri"/>
          <w:b/>
          <w:sz w:val="24"/>
          <w:szCs w:val="24"/>
          <w:lang w:val="fr-FR"/>
        </w:rPr>
        <w:t>la</w:t>
      </w:r>
      <w:r w:rsidR="00616FDA" w:rsidRPr="00857D78">
        <w:rPr>
          <w:rFonts w:asciiTheme="minorHAnsi" w:hAnsiTheme="minorHAnsi" w:cstheme="minorHAnsi"/>
          <w:sz w:val="24"/>
          <w:szCs w:val="24"/>
          <w:lang w:val="fr-FR"/>
        </w:rPr>
        <w:t> </w:t>
      </w:r>
      <w:r w:rsidR="00512044" w:rsidRPr="00512044">
        <w:rPr>
          <w:rFonts w:cs="Calibri"/>
          <w:b/>
          <w:sz w:val="24"/>
          <w:szCs w:val="24"/>
          <w:lang w:val="fr-FR"/>
        </w:rPr>
        <w:t>préservation des bois exotiques de la région. L’objet de cette coopération est</w:t>
      </w:r>
      <w:r w:rsidR="00616FDA" w:rsidRPr="00857D78">
        <w:rPr>
          <w:rFonts w:asciiTheme="minorHAnsi" w:hAnsiTheme="minorHAnsi" w:cstheme="minorHAnsi"/>
          <w:sz w:val="24"/>
          <w:szCs w:val="24"/>
          <w:lang w:val="fr-FR"/>
        </w:rPr>
        <w:t> </w:t>
      </w:r>
      <w:r w:rsidR="00512044" w:rsidRPr="00512044">
        <w:rPr>
          <w:rFonts w:cs="Calibri"/>
          <w:b/>
          <w:sz w:val="24"/>
          <w:szCs w:val="24"/>
          <w:lang w:val="fr-FR"/>
        </w:rPr>
        <w:t>de</w:t>
      </w:r>
      <w:r w:rsidR="00616FDA" w:rsidRPr="00857D78">
        <w:rPr>
          <w:rFonts w:asciiTheme="minorHAnsi" w:hAnsiTheme="minorHAnsi" w:cstheme="minorHAnsi"/>
          <w:sz w:val="24"/>
          <w:szCs w:val="24"/>
          <w:lang w:val="fr-FR"/>
        </w:rPr>
        <w:t> </w:t>
      </w:r>
      <w:r w:rsidR="00512044" w:rsidRPr="00512044">
        <w:rPr>
          <w:rFonts w:cs="Calibri"/>
          <w:b/>
          <w:sz w:val="24"/>
          <w:szCs w:val="24"/>
          <w:lang w:val="fr-FR"/>
        </w:rPr>
        <w:t>soutenir financièrement la communauté dans la gestion des six hectares de</w:t>
      </w:r>
      <w:r w:rsidR="00616FDA" w:rsidRPr="00857D78">
        <w:rPr>
          <w:rFonts w:asciiTheme="minorHAnsi" w:hAnsiTheme="minorHAnsi" w:cstheme="minorHAnsi"/>
          <w:sz w:val="24"/>
          <w:szCs w:val="24"/>
          <w:lang w:val="fr-FR"/>
        </w:rPr>
        <w:t> </w:t>
      </w:r>
      <w:r w:rsidR="00512044" w:rsidRPr="00512044">
        <w:rPr>
          <w:rFonts w:cs="Calibri"/>
          <w:b/>
          <w:sz w:val="24"/>
          <w:szCs w:val="24"/>
          <w:lang w:val="fr-FR"/>
        </w:rPr>
        <w:t>ces</w:t>
      </w:r>
      <w:r w:rsidR="00616FDA" w:rsidRPr="00857D78">
        <w:rPr>
          <w:rFonts w:asciiTheme="minorHAnsi" w:hAnsiTheme="minorHAnsi" w:cstheme="minorHAnsi"/>
          <w:sz w:val="24"/>
          <w:szCs w:val="24"/>
          <w:lang w:val="fr-FR"/>
        </w:rPr>
        <w:t> </w:t>
      </w:r>
      <w:r w:rsidR="00512044" w:rsidRPr="00512044">
        <w:rPr>
          <w:rFonts w:cs="Calibri"/>
          <w:b/>
          <w:sz w:val="24"/>
          <w:szCs w:val="24"/>
          <w:lang w:val="fr-FR"/>
        </w:rPr>
        <w:t>essences dont la pousse annuelle est de couvrir la consommation annuelle de</w:t>
      </w:r>
      <w:r w:rsidR="00616FDA" w:rsidRPr="00857D78">
        <w:rPr>
          <w:rFonts w:asciiTheme="minorHAnsi" w:hAnsiTheme="minorHAnsi" w:cstheme="minorHAnsi"/>
          <w:sz w:val="24"/>
          <w:szCs w:val="24"/>
          <w:lang w:val="fr-FR"/>
        </w:rPr>
        <w:t> </w:t>
      </w:r>
      <w:r w:rsidR="00512044" w:rsidRPr="00512044">
        <w:rPr>
          <w:rFonts w:cs="Calibri"/>
          <w:b/>
          <w:sz w:val="24"/>
          <w:szCs w:val="24"/>
          <w:lang w:val="fr-FR"/>
        </w:rPr>
        <w:t>l’entreprise</w:t>
      </w:r>
      <w:r w:rsidR="00841D12" w:rsidRPr="00546BFA">
        <w:rPr>
          <w:rFonts w:cs="Calibri"/>
          <w:b/>
          <w:sz w:val="24"/>
          <w:szCs w:val="24"/>
          <w:lang w:val="fr-FR"/>
        </w:rPr>
        <w:t>.</w:t>
      </w:r>
    </w:p>
    <w:p w14:paraId="3383075A" w14:textId="7B6E5CD3" w:rsidR="00C21994" w:rsidRPr="00546BFA" w:rsidRDefault="00512044" w:rsidP="002F442C">
      <w:pPr>
        <w:spacing w:before="240" w:after="0"/>
        <w:jc w:val="both"/>
        <w:rPr>
          <w:rFonts w:eastAsia="Times New Roman" w:cs="Calibri"/>
          <w:sz w:val="24"/>
          <w:szCs w:val="24"/>
          <w:lang w:val="fr-FR"/>
        </w:rPr>
      </w:pPr>
      <w:r w:rsidRPr="00512044">
        <w:rPr>
          <w:rFonts w:eastAsia="Times New Roman" w:cs="Calibri"/>
          <w:sz w:val="24"/>
          <w:szCs w:val="24"/>
          <w:lang w:val="fr-FR"/>
        </w:rPr>
        <w:t>Furch Guitars produit environ 8 000 guitares par an, consommant en moyenne 43 m</w:t>
      </w:r>
      <w:r w:rsidRPr="00512044">
        <w:rPr>
          <w:rFonts w:eastAsia="Times New Roman" w:cs="Calibri"/>
          <w:sz w:val="24"/>
          <w:szCs w:val="24"/>
          <w:vertAlign w:val="superscript"/>
          <w:lang w:val="fr-FR"/>
        </w:rPr>
        <w:t>3</w:t>
      </w:r>
      <w:r w:rsidRPr="00512044">
        <w:rPr>
          <w:rFonts w:eastAsia="Times New Roman" w:cs="Calibri"/>
          <w:sz w:val="24"/>
          <w:szCs w:val="24"/>
          <w:lang w:val="fr-FR"/>
        </w:rPr>
        <w:t xml:space="preserve"> de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bois exotique. Actuellement, les essences exotiques représentent jusqu’aux deux tiers de tout le matériau utilisé pour la fabrication des guitares acoustiques. Pour se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faire une idée, la production d’une guitare acoustique nécessite au total 0,00734 m</w:t>
      </w:r>
      <w:r w:rsidRPr="00512044">
        <w:rPr>
          <w:rFonts w:eastAsia="Times New Roman" w:cs="Calibri"/>
          <w:sz w:val="24"/>
          <w:szCs w:val="24"/>
          <w:vertAlign w:val="superscript"/>
          <w:lang w:val="fr-FR"/>
        </w:rPr>
        <w:t>3</w:t>
      </w:r>
      <w:r w:rsidRPr="00512044">
        <w:rPr>
          <w:rFonts w:eastAsia="Times New Roman" w:cs="Calibri"/>
          <w:sz w:val="24"/>
          <w:szCs w:val="24"/>
          <w:lang w:val="fr-FR"/>
        </w:rPr>
        <w:t xml:space="preserve"> de matériaux (y compris les déchets) et jusqu’à 0,00537 m</w:t>
      </w:r>
      <w:r w:rsidRPr="00512044">
        <w:rPr>
          <w:rFonts w:eastAsia="Times New Roman" w:cs="Calibri"/>
          <w:sz w:val="24"/>
          <w:szCs w:val="24"/>
          <w:vertAlign w:val="superscript"/>
          <w:lang w:val="fr-FR"/>
        </w:rPr>
        <w:t>3</w:t>
      </w:r>
      <w:r w:rsidRPr="00512044">
        <w:rPr>
          <w:rFonts w:eastAsia="Times New Roman" w:cs="Calibri"/>
          <w:sz w:val="24"/>
          <w:szCs w:val="24"/>
          <w:lang w:val="fr-FR"/>
        </w:rPr>
        <w:t xml:space="preserve"> ne sont que des bois exotiques</w:t>
      </w:r>
      <w:r w:rsidR="00E44190" w:rsidRPr="00546BFA">
        <w:rPr>
          <w:rFonts w:eastAsia="Times New Roman" w:cs="Calibri"/>
          <w:sz w:val="24"/>
          <w:szCs w:val="24"/>
          <w:lang w:val="fr-FR"/>
        </w:rPr>
        <w:t>.</w:t>
      </w:r>
    </w:p>
    <w:p w14:paraId="6D84D7DE" w14:textId="6A33580B" w:rsidR="002F442C" w:rsidRPr="00546BFA" w:rsidRDefault="00512044" w:rsidP="002F442C">
      <w:pPr>
        <w:spacing w:before="120" w:after="0"/>
        <w:jc w:val="both"/>
        <w:rPr>
          <w:rFonts w:eastAsia="Times New Roman" w:cs="Calibri"/>
          <w:sz w:val="24"/>
          <w:szCs w:val="24"/>
          <w:lang w:val="fr-FR"/>
        </w:rPr>
      </w:pPr>
      <w:r w:rsidRPr="00512044">
        <w:rPr>
          <w:rFonts w:eastAsia="Times New Roman" w:cs="Calibri"/>
          <w:sz w:val="24"/>
          <w:szCs w:val="24"/>
          <w:lang w:val="fr-FR"/>
        </w:rPr>
        <w:t xml:space="preserve">Furch Guitars a par conséquent décidé d’établir un partenariat avec la société panaméenne </w:t>
      </w:r>
      <w:proofErr w:type="spellStart"/>
      <w:r w:rsidRPr="00512044">
        <w:rPr>
          <w:rFonts w:eastAsia="Times New Roman" w:cs="Calibri"/>
          <w:sz w:val="24"/>
          <w:szCs w:val="24"/>
          <w:lang w:val="fr-FR"/>
        </w:rPr>
        <w:t>Planting</w:t>
      </w:r>
      <w:proofErr w:type="spellEnd"/>
      <w:r w:rsidRPr="00512044">
        <w:rPr>
          <w:rFonts w:eastAsia="Times New Roman" w:cs="Calibri"/>
          <w:sz w:val="24"/>
          <w:szCs w:val="24"/>
          <w:lang w:val="fr-FR"/>
        </w:rPr>
        <w:t xml:space="preserve"> </w:t>
      </w:r>
      <w:proofErr w:type="spellStart"/>
      <w:r w:rsidRPr="00512044">
        <w:rPr>
          <w:rFonts w:eastAsia="Times New Roman" w:cs="Calibri"/>
          <w:sz w:val="24"/>
          <w:szCs w:val="24"/>
          <w:lang w:val="fr-FR"/>
        </w:rPr>
        <w:t>Empowerment</w:t>
      </w:r>
      <w:proofErr w:type="spellEnd"/>
      <w:r w:rsidRPr="00512044">
        <w:rPr>
          <w:rFonts w:eastAsia="Times New Roman" w:cs="Calibri"/>
          <w:sz w:val="24"/>
          <w:szCs w:val="24"/>
          <w:lang w:val="fr-FR"/>
        </w:rPr>
        <w:t xml:space="preserve"> et avec la communauté </w:t>
      </w:r>
      <w:proofErr w:type="spellStart"/>
      <w:r w:rsidRPr="00512044">
        <w:rPr>
          <w:rFonts w:eastAsia="Times New Roman" w:cs="Calibri"/>
          <w:sz w:val="24"/>
          <w:szCs w:val="24"/>
          <w:lang w:val="fr-FR"/>
        </w:rPr>
        <w:t>Arimae</w:t>
      </w:r>
      <w:proofErr w:type="spellEnd"/>
      <w:r w:rsidRPr="00512044">
        <w:rPr>
          <w:rFonts w:eastAsia="Times New Roman" w:cs="Calibri"/>
          <w:sz w:val="24"/>
          <w:szCs w:val="24"/>
          <w:lang w:val="fr-FR"/>
        </w:rPr>
        <w:t>, regroupant des</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familles locales qui œuvrent pour la protection des forêts tropicales et pour la</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plantation ainsi que pour la préservation des arbres exotiques, en accordant une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attention particulière à leur développement durable. Dans le cadre de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ce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partenariat, l’entreprise soutiendra financièrement la communauté en protégeant les</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 xml:space="preserve">quatre hectares de </w:t>
      </w:r>
      <w:proofErr w:type="spellStart"/>
      <w:r w:rsidRPr="00512044">
        <w:rPr>
          <w:rFonts w:eastAsia="Times New Roman" w:cs="Calibri"/>
          <w:sz w:val="24"/>
          <w:szCs w:val="24"/>
          <w:lang w:val="fr-FR"/>
        </w:rPr>
        <w:t>cocobolo</w:t>
      </w:r>
      <w:proofErr w:type="spellEnd"/>
      <w:r w:rsidRPr="00512044">
        <w:rPr>
          <w:rFonts w:eastAsia="Times New Roman" w:cs="Calibri"/>
          <w:sz w:val="24"/>
          <w:szCs w:val="24"/>
          <w:lang w:val="fr-FR"/>
        </w:rPr>
        <w:t xml:space="preserve"> (dalbergia </w:t>
      </w:r>
      <w:proofErr w:type="spellStart"/>
      <w:r w:rsidRPr="00512044">
        <w:rPr>
          <w:rFonts w:eastAsia="Times New Roman" w:cs="Calibri"/>
          <w:sz w:val="24"/>
          <w:szCs w:val="24"/>
          <w:lang w:val="fr-FR"/>
        </w:rPr>
        <w:t>retusa</w:t>
      </w:r>
      <w:proofErr w:type="spellEnd"/>
      <w:r w:rsidRPr="00512044">
        <w:rPr>
          <w:rFonts w:eastAsia="Times New Roman" w:cs="Calibri"/>
          <w:sz w:val="24"/>
          <w:szCs w:val="24"/>
          <w:lang w:val="fr-FR"/>
        </w:rPr>
        <w:t>) et les deux hectares d’acajou (</w:t>
      </w:r>
      <w:proofErr w:type="spellStart"/>
      <w:r w:rsidRPr="00512044">
        <w:rPr>
          <w:rFonts w:eastAsia="Times New Roman" w:cs="Calibri"/>
          <w:sz w:val="24"/>
          <w:szCs w:val="24"/>
          <w:lang w:val="fr-FR"/>
        </w:rPr>
        <w:t>swietenia</w:t>
      </w:r>
      <w:proofErr w:type="spellEnd"/>
      <w:r w:rsidRPr="00512044">
        <w:rPr>
          <w:rFonts w:eastAsia="Times New Roman" w:cs="Calibri"/>
          <w:sz w:val="24"/>
          <w:szCs w:val="24"/>
          <w:lang w:val="fr-FR"/>
        </w:rPr>
        <w:t xml:space="preserve"> </w:t>
      </w:r>
      <w:proofErr w:type="spellStart"/>
      <w:r w:rsidRPr="00512044">
        <w:rPr>
          <w:rFonts w:eastAsia="Times New Roman" w:cs="Calibri"/>
          <w:sz w:val="24"/>
          <w:szCs w:val="24"/>
          <w:lang w:val="fr-FR"/>
        </w:rPr>
        <w:t>macrophylla</w:t>
      </w:r>
      <w:proofErr w:type="spellEnd"/>
      <w:r w:rsidRPr="00512044">
        <w:rPr>
          <w:rFonts w:eastAsia="Times New Roman" w:cs="Calibri"/>
          <w:sz w:val="24"/>
          <w:szCs w:val="24"/>
          <w:lang w:val="fr-FR"/>
        </w:rPr>
        <w:t>) dont la croissance moyenne totale peut atteindre 39 m</w:t>
      </w:r>
      <w:r w:rsidRPr="00512044">
        <w:rPr>
          <w:rFonts w:eastAsia="Times New Roman" w:cs="Calibri"/>
          <w:sz w:val="24"/>
          <w:szCs w:val="24"/>
          <w:vertAlign w:val="superscript"/>
          <w:lang w:val="fr-FR"/>
        </w:rPr>
        <w:t>3</w:t>
      </w:r>
      <w:r>
        <w:rPr>
          <w:rFonts w:eastAsia="Times New Roman" w:cs="Calibri"/>
          <w:sz w:val="24"/>
          <w:szCs w:val="24"/>
          <w:lang w:val="fr-FR"/>
        </w:rPr>
        <w:t>.</w:t>
      </w:r>
    </w:p>
    <w:p w14:paraId="1C5A3EE3" w14:textId="218C8F1F" w:rsidR="002F442C" w:rsidRPr="00512044" w:rsidRDefault="00512044" w:rsidP="002F442C">
      <w:pPr>
        <w:spacing w:before="120" w:after="0"/>
        <w:jc w:val="both"/>
        <w:rPr>
          <w:rFonts w:eastAsia="Times New Roman" w:cs="Calibri"/>
          <w:sz w:val="24"/>
          <w:szCs w:val="24"/>
          <w:lang w:val="fr-FR"/>
        </w:rPr>
      </w:pPr>
      <w:r w:rsidRPr="00512044">
        <w:rPr>
          <w:rFonts w:eastAsia="Times New Roman" w:cs="Calibri"/>
          <w:i/>
          <w:sz w:val="24"/>
          <w:szCs w:val="24"/>
          <w:lang w:val="fr-FR"/>
        </w:rPr>
        <w:t>« Le bois est la source de matière première la plus renouvelable sur terre, néanmoins nous voulons le traiter avec respect et le préserver pour la prochaine génération. Au</w:t>
      </w:r>
      <w:r w:rsidR="00616FDA" w:rsidRPr="00857D78">
        <w:rPr>
          <w:rFonts w:asciiTheme="minorHAnsi" w:hAnsiTheme="minorHAnsi" w:cstheme="minorHAnsi"/>
          <w:sz w:val="24"/>
          <w:szCs w:val="24"/>
          <w:lang w:val="fr-FR"/>
        </w:rPr>
        <w:t> </w:t>
      </w:r>
      <w:r w:rsidRPr="00512044">
        <w:rPr>
          <w:rFonts w:eastAsia="Times New Roman" w:cs="Calibri"/>
          <w:i/>
          <w:sz w:val="24"/>
          <w:szCs w:val="24"/>
          <w:lang w:val="fr-FR"/>
        </w:rPr>
        <w:t>travers d’une nouvelle coopération entre la nature et la société, nous avons donc décidé, en recourant à cette matière première, de compenser progressivement la</w:t>
      </w:r>
      <w:r w:rsidR="00616FDA" w:rsidRPr="00857D78">
        <w:rPr>
          <w:rFonts w:asciiTheme="minorHAnsi" w:hAnsiTheme="minorHAnsi" w:cstheme="minorHAnsi"/>
          <w:sz w:val="24"/>
          <w:szCs w:val="24"/>
          <w:lang w:val="fr-FR"/>
        </w:rPr>
        <w:t> </w:t>
      </w:r>
      <w:r w:rsidRPr="00512044">
        <w:rPr>
          <w:rFonts w:eastAsia="Times New Roman" w:cs="Calibri"/>
          <w:i/>
          <w:sz w:val="24"/>
          <w:szCs w:val="24"/>
          <w:lang w:val="fr-FR"/>
        </w:rPr>
        <w:t xml:space="preserve">quantité que nous consommons. Outre le </w:t>
      </w:r>
      <w:proofErr w:type="spellStart"/>
      <w:r w:rsidRPr="00512044">
        <w:rPr>
          <w:rFonts w:eastAsia="Times New Roman" w:cs="Calibri"/>
          <w:i/>
          <w:sz w:val="24"/>
          <w:szCs w:val="24"/>
          <w:lang w:val="fr-FR"/>
        </w:rPr>
        <w:t>cocobolo</w:t>
      </w:r>
      <w:proofErr w:type="spellEnd"/>
      <w:r w:rsidRPr="00512044">
        <w:rPr>
          <w:rFonts w:eastAsia="Times New Roman" w:cs="Calibri"/>
          <w:i/>
          <w:sz w:val="24"/>
          <w:szCs w:val="24"/>
          <w:lang w:val="fr-FR"/>
        </w:rPr>
        <w:t xml:space="preserve"> et l’acajou d’Amérique centrale, nous aimerions nous concentrer à l’avenir sur d’autres essences », </w:t>
      </w:r>
      <w:r w:rsidRPr="00512044">
        <w:rPr>
          <w:rFonts w:eastAsia="Times New Roman" w:cs="Calibri"/>
          <w:sz w:val="24"/>
          <w:szCs w:val="24"/>
          <w:lang w:val="fr-FR"/>
        </w:rPr>
        <w:t>déclare Petr Furch, directeur de Furch Guitars.</w:t>
      </w:r>
    </w:p>
    <w:p w14:paraId="371C6DFF" w14:textId="3C8A51DB" w:rsidR="00F357E1" w:rsidRPr="00546BFA" w:rsidRDefault="00512044" w:rsidP="00512044">
      <w:pPr>
        <w:spacing w:before="120" w:after="0"/>
        <w:jc w:val="both"/>
        <w:rPr>
          <w:rFonts w:eastAsia="Times New Roman" w:cs="Calibri"/>
          <w:sz w:val="24"/>
          <w:szCs w:val="24"/>
          <w:lang w:val="fr-FR"/>
        </w:rPr>
      </w:pPr>
      <w:r w:rsidRPr="00512044">
        <w:rPr>
          <w:rFonts w:eastAsia="Times New Roman" w:cs="Calibri"/>
          <w:sz w:val="24"/>
          <w:szCs w:val="24"/>
          <w:lang w:val="fr-FR"/>
        </w:rPr>
        <w:lastRenderedPageBreak/>
        <w:t>Cette nouvelle coopération s’inscrit dans le cadre d’un concept plus large et dans lequel l’entreprise Furch Guitars se rapproche de l’environnement. Tous les bois utilisés dans la</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fabrication des guitares Furch proviennent de fournisseurs dûment vérifiés. Par</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ailleurs, de nombreux modèles sont composés de matériaux qui représentent une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alternative à part entière au bois exotique. À titre d’exemple, citons le noyer noir, qui est utilisé pour la plaque du fond et l’éclisse d’un certain nombre de modèles au lieu du palissandre indien. Furch se consacre à la conservation de la nature et prévoit d'étendre ses activités dans ce domaine par l'introduction de divers processus et</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technologies écologiques. Par exemple, il y a plusieurs années, Furch a mis au point le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traitement Full-Pore High-Gloss Finish, ne contenant aucun solvant chimique et</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ne</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causant aucune pollution atmosphérique, une alternative de pointe aux</w:t>
      </w:r>
      <w:r w:rsidR="00616FDA" w:rsidRPr="00857D78">
        <w:rPr>
          <w:rFonts w:asciiTheme="minorHAnsi" w:hAnsiTheme="minorHAnsi" w:cstheme="minorHAnsi"/>
          <w:sz w:val="24"/>
          <w:szCs w:val="24"/>
          <w:lang w:val="fr-FR"/>
        </w:rPr>
        <w:t> </w:t>
      </w:r>
      <w:r w:rsidRPr="00512044">
        <w:rPr>
          <w:rFonts w:eastAsia="Times New Roman" w:cs="Calibri"/>
          <w:sz w:val="24"/>
          <w:szCs w:val="24"/>
          <w:lang w:val="fr-FR"/>
        </w:rPr>
        <w:t>traitements traditionnels à base de solvant</w:t>
      </w:r>
      <w:r w:rsidR="00E44190" w:rsidRPr="00546BFA">
        <w:rPr>
          <w:rFonts w:eastAsia="Times New Roman" w:cs="Calibri"/>
          <w:sz w:val="24"/>
          <w:szCs w:val="24"/>
          <w:lang w:val="fr-FR"/>
        </w:rPr>
        <w:t>.</w:t>
      </w:r>
    </w:p>
    <w:p w14:paraId="42145FC6" w14:textId="2BB3CB08" w:rsidR="002F442C" w:rsidRPr="00546BFA" w:rsidRDefault="002F442C" w:rsidP="00512044">
      <w:pPr>
        <w:spacing w:before="36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546BFA" w:rsidRDefault="00E218FA" w:rsidP="00E218FA">
      <w:pPr>
        <w:pStyle w:val="Normlnweb"/>
        <w:spacing w:before="240" w:beforeAutospacing="0" w:after="240" w:afterAutospacing="0"/>
        <w:jc w:val="center"/>
        <w:rPr>
          <w:rFonts w:ascii="Calibri" w:hAnsi="Calibri" w:cs="Calibri"/>
          <w:sz w:val="20"/>
          <w:szCs w:val="20"/>
          <w:lang w:val="fr-FR" w:eastAsia="en-US"/>
        </w:rPr>
      </w:pPr>
      <w:r w:rsidRPr="00546BFA">
        <w:rPr>
          <w:rFonts w:ascii="Calibri" w:hAnsi="Calibri" w:cs="Calibri"/>
          <w:sz w:val="20"/>
          <w:szCs w:val="20"/>
          <w:lang w:val="fr-FR" w:eastAsia="en-US"/>
        </w:rPr>
        <w:t># # # FIN # # #</w:t>
      </w:r>
    </w:p>
    <w:p w14:paraId="5120E7D0" w14:textId="7E0BF49B" w:rsidR="00580DF3" w:rsidRPr="00546BFA" w:rsidRDefault="00546BFA" w:rsidP="00403DDB">
      <w:pPr>
        <w:spacing w:before="120" w:after="0" w:line="240" w:lineRule="auto"/>
        <w:jc w:val="both"/>
        <w:rPr>
          <w:rFonts w:cs="Calibri"/>
          <w:sz w:val="24"/>
          <w:szCs w:val="24"/>
          <w:lang w:val="fr-FR"/>
        </w:rPr>
      </w:pPr>
      <w:r w:rsidRPr="00546BFA">
        <w:rPr>
          <w:rFonts w:asciiTheme="minorHAnsi" w:hAnsiTheme="minorHAnsi" w:cstheme="minorHAnsi"/>
          <w:b/>
          <w:sz w:val="20"/>
          <w:szCs w:val="20"/>
          <w:lang w:val="fr-FR"/>
        </w:rPr>
        <w:t>Contact</w:t>
      </w:r>
      <w:r w:rsidR="002F442C" w:rsidRPr="00546BFA">
        <w:rPr>
          <w:rFonts w:asciiTheme="minorHAnsi" w:hAnsiTheme="minorHAnsi" w:cstheme="minorHAnsi"/>
          <w:b/>
          <w:sz w:val="20"/>
          <w:szCs w:val="20"/>
          <w:lang w:val="fr-FR"/>
        </w:rPr>
        <w:t xml:space="preserve">: </w:t>
      </w:r>
      <w:r w:rsidR="002F442C" w:rsidRPr="00546BFA">
        <w:rPr>
          <w:rFonts w:asciiTheme="minorHAnsi" w:hAnsiTheme="minorHAnsi" w:cstheme="minorHAnsi"/>
          <w:sz w:val="20"/>
          <w:szCs w:val="20"/>
          <w:lang w:val="fr-FR"/>
        </w:rPr>
        <w:t xml:space="preserve">Klára Ariño, </w:t>
      </w:r>
      <w:hyperlink r:id="rId9" w:history="1">
        <w:r w:rsidR="002F442C" w:rsidRPr="00546BFA">
          <w:rPr>
            <w:rStyle w:val="Hypertextovodkaz"/>
            <w:rFonts w:asciiTheme="minorHAnsi" w:hAnsiTheme="minorHAnsi" w:cstheme="minorHAnsi"/>
            <w:color w:val="auto"/>
            <w:sz w:val="20"/>
            <w:szCs w:val="20"/>
            <w:u w:val="none"/>
            <w:lang w:val="fr-FR"/>
          </w:rPr>
          <w:t>press@furchguitars.com</w:t>
        </w:r>
      </w:hyperlink>
      <w:r w:rsidR="002F442C" w:rsidRPr="00546BFA">
        <w:rPr>
          <w:rStyle w:val="Hypertextovodkaz"/>
          <w:rFonts w:asciiTheme="minorHAnsi" w:hAnsiTheme="minorHAnsi" w:cstheme="minorHAnsi"/>
          <w:color w:val="auto"/>
          <w:sz w:val="20"/>
          <w:szCs w:val="20"/>
          <w:u w:val="none"/>
          <w:lang w:val="fr-FR"/>
        </w:rPr>
        <w:t xml:space="preserve">, </w:t>
      </w:r>
      <w:r w:rsidR="002F442C" w:rsidRPr="00546BFA">
        <w:rPr>
          <w:rFonts w:asciiTheme="minorHAnsi" w:hAnsiTheme="minorHAnsi" w:cstheme="minorHAnsi"/>
          <w:sz w:val="20"/>
          <w:szCs w:val="20"/>
          <w:lang w:val="fr-FR"/>
        </w:rPr>
        <w:t>+420 777 728 091</w:t>
      </w:r>
    </w:p>
    <w:sectPr w:rsidR="00580DF3" w:rsidRPr="00546BFA"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AF8A" w14:textId="77777777" w:rsidR="0016228F" w:rsidRDefault="0016228F" w:rsidP="000A2293">
      <w:pPr>
        <w:spacing w:after="0" w:line="240" w:lineRule="auto"/>
      </w:pPr>
      <w:r>
        <w:separator/>
      </w:r>
    </w:p>
  </w:endnote>
  <w:endnote w:type="continuationSeparator" w:id="0">
    <w:p w14:paraId="1346B646" w14:textId="77777777" w:rsidR="0016228F" w:rsidRDefault="0016228F"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" filled="f" stroked="f">
              <o:lock v:ext="edit" shapetype="t"/>
              <v:textbo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275329A9">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2"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C9B3" w14:textId="77777777" w:rsidR="0016228F" w:rsidRDefault="0016228F" w:rsidP="000A2293">
      <w:pPr>
        <w:spacing w:after="0" w:line="240" w:lineRule="auto"/>
      </w:pPr>
      <w:r>
        <w:separator/>
      </w:r>
    </w:p>
  </w:footnote>
  <w:footnote w:type="continuationSeparator" w:id="0">
    <w:p w14:paraId="77616FAD" w14:textId="77777777" w:rsidR="0016228F" w:rsidRDefault="0016228F"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28F"/>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044"/>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16FDA"/>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21E"/>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9B7"/>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3B021AB-F878-4089-B849-6EB08A63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3722</Characters>
  <Application>Microsoft Office Word</Application>
  <DocSecurity>0</DocSecurity>
  <Lines>31</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4</cp:revision>
  <cp:lastPrinted>2018-12-20T10:44:00Z</cp:lastPrinted>
  <dcterms:created xsi:type="dcterms:W3CDTF">2019-01-18T15:01:00Z</dcterms:created>
  <dcterms:modified xsi:type="dcterms:W3CDTF">2019-02-19T06:38:00Z</dcterms:modified>
</cp:coreProperties>
</file>