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50F05431" w:rsidR="00FD5533" w:rsidRPr="00015BEE" w:rsidRDefault="007F6043" w:rsidP="00015BEE">
      <w:pPr>
        <w:pStyle w:val="Nadpis1"/>
        <w:tabs>
          <w:tab w:val="center" w:pos="4323"/>
          <w:tab w:val="left" w:pos="5580"/>
        </w:tabs>
        <w:spacing w:before="120"/>
        <w:rPr>
          <w:rFonts w:ascii="Calibri" w:hAnsi="Calibri" w:cs="Calibri"/>
          <w:color w:val="auto"/>
          <w:sz w:val="36"/>
          <w:szCs w:val="36"/>
          <w:lang w:val="fr-FR"/>
        </w:rPr>
      </w:pPr>
      <w:r w:rsidRPr="007F6043">
        <w:rPr>
          <w:rFonts w:ascii="Calibri" w:hAnsi="Calibri" w:cs="Calibri"/>
          <w:color w:val="808080"/>
          <w:sz w:val="36"/>
          <w:szCs w:val="36"/>
          <w:lang w:val="fr-FR"/>
        </w:rPr>
        <w:t>Summer NAMM 2019</w:t>
      </w:r>
      <w:bookmarkStart w:id="0" w:name="_GoBack"/>
      <w:bookmarkEnd w:id="0"/>
      <w:r w:rsidR="000A09A0">
        <w:rPr>
          <w:rFonts w:ascii="Calibri" w:hAnsi="Calibri" w:cs="Calibri"/>
          <w:color w:val="808080"/>
          <w:sz w:val="36"/>
          <w:szCs w:val="36"/>
          <w:lang w:val="fr-FR"/>
        </w:rPr>
        <w:t xml:space="preserve">: </w:t>
      </w:r>
      <w:r w:rsidR="002D07A3" w:rsidRPr="002D07A3">
        <w:rPr>
          <w:rFonts w:ascii="Calibri" w:hAnsi="Calibri" w:cs="Calibri"/>
          <w:color w:val="808080"/>
          <w:sz w:val="36"/>
          <w:szCs w:val="36"/>
          <w:lang w:val="fr-FR"/>
        </w:rPr>
        <w:t>Furch Guitars présente son nouveau modèle en</w:t>
      </w:r>
      <w:r w:rsidR="000A09A0" w:rsidRPr="000A09A0">
        <w:rPr>
          <w:rFonts w:asciiTheme="minorHAnsi" w:hAnsiTheme="minorHAnsi" w:cstheme="minorHAnsi"/>
          <w:color w:val="808080"/>
          <w:sz w:val="36"/>
          <w:szCs w:val="36"/>
        </w:rPr>
        <w:t> </w:t>
      </w:r>
      <w:r w:rsidR="002D07A3" w:rsidRPr="002D07A3">
        <w:rPr>
          <w:rFonts w:ascii="Calibri" w:hAnsi="Calibri" w:cs="Calibri"/>
          <w:color w:val="808080"/>
          <w:sz w:val="36"/>
          <w:szCs w:val="36"/>
          <w:lang w:val="fr-FR"/>
        </w:rPr>
        <w:t>édition limitée pour 2019</w:t>
      </w:r>
    </w:p>
    <w:p w14:paraId="22BCBF84" w14:textId="53BD36C9" w:rsidR="006A3391" w:rsidRPr="00546BFA" w:rsidRDefault="0093101B" w:rsidP="00AB59BD">
      <w:pPr>
        <w:spacing w:before="360" w:after="0"/>
        <w:jc w:val="both"/>
        <w:rPr>
          <w:rFonts w:cs="Calibri"/>
          <w:b/>
          <w:sz w:val="24"/>
          <w:szCs w:val="24"/>
          <w:lang w:val="fr-FR"/>
        </w:rPr>
      </w:pPr>
      <w:bookmarkStart w:id="1" w:name="_Hlk505770900"/>
      <w:r w:rsidRPr="00546BFA">
        <w:rPr>
          <w:rFonts w:cs="Calibri"/>
          <w:b/>
          <w:sz w:val="24"/>
          <w:szCs w:val="24"/>
          <w:lang w:val="fr-FR"/>
        </w:rPr>
        <w:t>Velké Němčice</w:t>
      </w:r>
      <w:bookmarkEnd w:id="1"/>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F964C8">
        <w:rPr>
          <w:rFonts w:cs="Calibri"/>
          <w:b/>
          <w:sz w:val="24"/>
          <w:szCs w:val="24"/>
          <w:lang w:val="fr-FR"/>
        </w:rPr>
        <w:t>16</w:t>
      </w:r>
      <w:r w:rsidR="00FD5533" w:rsidRPr="00546BFA">
        <w:rPr>
          <w:rFonts w:cs="Calibri"/>
          <w:b/>
          <w:sz w:val="24"/>
          <w:szCs w:val="24"/>
          <w:lang w:val="fr-FR"/>
        </w:rPr>
        <w:t xml:space="preserve"> </w:t>
      </w:r>
      <w:r w:rsidR="00437FD3" w:rsidRPr="00437FD3">
        <w:rPr>
          <w:rFonts w:cs="Calibri"/>
          <w:b/>
          <w:sz w:val="24"/>
          <w:szCs w:val="24"/>
          <w:lang w:val="fr-FR"/>
        </w:rPr>
        <w:t>juillet</w:t>
      </w:r>
      <w:r w:rsidR="00C47EE9">
        <w:rPr>
          <w:rFonts w:cs="Calibri"/>
          <w:b/>
          <w:sz w:val="24"/>
          <w:szCs w:val="24"/>
          <w:lang w:val="fr-FR"/>
        </w:rPr>
        <w:t xml:space="preserve">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w:t>
      </w:r>
      <w:r w:rsidR="00437FD3" w:rsidRPr="00437FD3">
        <w:rPr>
          <w:rFonts w:cs="Calibri"/>
          <w:b/>
          <w:sz w:val="24"/>
          <w:szCs w:val="24"/>
          <w:lang w:val="fr-FR"/>
        </w:rPr>
        <w:t xml:space="preserve">l’un des plus importants fabricants mondiaux de guitares de haute qualité, </w:t>
      </w:r>
      <w:r w:rsidR="00F964C8" w:rsidRPr="00F964C8">
        <w:rPr>
          <w:rFonts w:cs="Calibri"/>
          <w:b/>
          <w:sz w:val="24"/>
          <w:szCs w:val="24"/>
          <w:lang w:val="fr-FR"/>
        </w:rPr>
        <w:t>présente sa nouvelle guitare acoustique en édition limitée pour 2019. La guitare entièrement massive Furch Limited 2019 GSc-LC se distingue par son design unique, sa</w:t>
      </w:r>
      <w:r w:rsidR="00D86DFA" w:rsidRPr="00D86DFA">
        <w:rPr>
          <w:b/>
          <w:bCs/>
          <w:sz w:val="24"/>
          <w:szCs w:val="24"/>
        </w:rPr>
        <w:t> </w:t>
      </w:r>
      <w:r w:rsidR="00F964C8" w:rsidRPr="00F964C8">
        <w:rPr>
          <w:rFonts w:cs="Calibri"/>
          <w:b/>
          <w:sz w:val="24"/>
          <w:szCs w:val="24"/>
          <w:lang w:val="fr-FR"/>
        </w:rPr>
        <w:t>finition de précision et ses matériaux de première classe qui, avec l’instrument, offrent un son exceptionnel et un style exclusif.</w:t>
      </w:r>
    </w:p>
    <w:p w14:paraId="7FDA1834" w14:textId="491B37A3" w:rsidR="00F964C8" w:rsidRPr="00F964C8" w:rsidRDefault="00F964C8" w:rsidP="00F964C8">
      <w:pPr>
        <w:spacing w:before="120" w:after="0" w:line="240" w:lineRule="auto"/>
        <w:jc w:val="both"/>
        <w:rPr>
          <w:rFonts w:eastAsia="Times New Roman" w:cs="Calibri"/>
          <w:sz w:val="24"/>
          <w:szCs w:val="24"/>
          <w:lang w:val="fr-FR"/>
        </w:rPr>
      </w:pPr>
      <w:r w:rsidRPr="00F964C8">
        <w:rPr>
          <w:rFonts w:eastAsia="Times New Roman" w:cs="Calibri"/>
          <w:sz w:val="24"/>
          <w:szCs w:val="24"/>
          <w:lang w:val="fr-FR"/>
        </w:rPr>
        <w:t>La conception de la nouvelle guitare GSc en édition limitée est inspirée du modèle Grand Nylon. Le barrage interne est cependant spécialement conçu pour l’utilisation de</w:t>
      </w:r>
      <w:r w:rsidR="00D86DFA" w:rsidRPr="00D86DFA">
        <w:rPr>
          <w:sz w:val="24"/>
          <w:szCs w:val="24"/>
        </w:rPr>
        <w:t> </w:t>
      </w:r>
      <w:r w:rsidRPr="00F964C8">
        <w:rPr>
          <w:rFonts w:eastAsia="Times New Roman" w:cs="Calibri"/>
          <w:sz w:val="24"/>
          <w:szCs w:val="24"/>
          <w:lang w:val="fr-FR"/>
        </w:rPr>
        <w:t>cordes en métal. La table d’harmonie de l’instrument est fabriquée à partir d’épicéa alpin de haute qualité. Les propriétés acoustiques exceptionnelles de ce bois sont soulignées par un réglage spécial de la table d’harmonie, fruit de nombreuses années de</w:t>
      </w:r>
      <w:r w:rsidR="00D86DFA" w:rsidRPr="00D86DFA">
        <w:rPr>
          <w:sz w:val="24"/>
          <w:szCs w:val="24"/>
        </w:rPr>
        <w:t> </w:t>
      </w:r>
      <w:r w:rsidRPr="00F964C8">
        <w:rPr>
          <w:rFonts w:eastAsia="Times New Roman" w:cs="Calibri"/>
          <w:sz w:val="24"/>
          <w:szCs w:val="24"/>
          <w:lang w:val="fr-FR"/>
        </w:rPr>
        <w:t>recherche chez Furch Guitars. Le fond et l’éclisse sont façonnés à partir de cocobolo d’Amérique centrale de grande valeur, conférant à l’instrument un son bien équilibré et</w:t>
      </w:r>
      <w:r w:rsidR="00D86DFA" w:rsidRPr="00D86DFA">
        <w:rPr>
          <w:sz w:val="24"/>
          <w:szCs w:val="24"/>
        </w:rPr>
        <w:t> </w:t>
      </w:r>
      <w:r w:rsidRPr="00F964C8">
        <w:rPr>
          <w:rFonts w:eastAsia="Times New Roman" w:cs="Calibri"/>
          <w:sz w:val="24"/>
          <w:szCs w:val="24"/>
          <w:lang w:val="fr-FR"/>
        </w:rPr>
        <w:t>un bel aspect brillant. Les qualités acoustiques et visuelles globales des essences de</w:t>
      </w:r>
      <w:r w:rsidR="00D86DFA" w:rsidRPr="00D86DFA">
        <w:rPr>
          <w:sz w:val="24"/>
          <w:szCs w:val="24"/>
        </w:rPr>
        <w:t> </w:t>
      </w:r>
      <w:r w:rsidRPr="00F964C8">
        <w:rPr>
          <w:rFonts w:eastAsia="Times New Roman" w:cs="Calibri"/>
          <w:sz w:val="24"/>
          <w:szCs w:val="24"/>
          <w:lang w:val="fr-FR"/>
        </w:rPr>
        <w:t>bois utilisées sont rehaussées par le traitement de surface unique Full-Pore High-Gloss Finish qui se présente sous la forme d’une couche UV très lisse et de haute brillance.</w:t>
      </w:r>
    </w:p>
    <w:p w14:paraId="6CDF8198" w14:textId="4D025AC9" w:rsidR="00F964C8" w:rsidRPr="00F964C8" w:rsidRDefault="00F964C8" w:rsidP="00F964C8">
      <w:pPr>
        <w:spacing w:before="120" w:after="0" w:line="240" w:lineRule="auto"/>
        <w:jc w:val="both"/>
        <w:rPr>
          <w:rFonts w:eastAsia="Times New Roman" w:cs="Calibri"/>
          <w:sz w:val="24"/>
          <w:szCs w:val="24"/>
          <w:lang w:val="fr-FR"/>
        </w:rPr>
      </w:pPr>
      <w:r w:rsidRPr="00F964C8">
        <w:rPr>
          <w:rFonts w:eastAsia="Times New Roman" w:cs="Calibri"/>
          <w:sz w:val="24"/>
          <w:szCs w:val="24"/>
          <w:lang w:val="fr-FR"/>
        </w:rPr>
        <w:t>Le caractère exclusif de l’instrument est mis en valeur par de nombreux détails décoratifs. La table d’harmonie de la guitare est ornée d’une incrustation en padouk aux</w:t>
      </w:r>
      <w:r w:rsidR="00D86DFA" w:rsidRPr="00D86DFA">
        <w:rPr>
          <w:sz w:val="24"/>
          <w:szCs w:val="24"/>
        </w:rPr>
        <w:t> </w:t>
      </w:r>
      <w:r w:rsidRPr="00F964C8">
        <w:rPr>
          <w:rFonts w:eastAsia="Times New Roman" w:cs="Calibri"/>
          <w:sz w:val="24"/>
          <w:szCs w:val="24"/>
          <w:lang w:val="fr-FR"/>
        </w:rPr>
        <w:t>lignes contrastées et d’une rosace massive en anneau faite de koa. Ce bois a</w:t>
      </w:r>
      <w:r w:rsidR="00D86DFA" w:rsidRPr="00D86DFA">
        <w:rPr>
          <w:sz w:val="24"/>
          <w:szCs w:val="24"/>
        </w:rPr>
        <w:t> </w:t>
      </w:r>
      <w:r w:rsidRPr="00F964C8">
        <w:rPr>
          <w:rFonts w:eastAsia="Times New Roman" w:cs="Calibri"/>
          <w:sz w:val="24"/>
          <w:szCs w:val="24"/>
          <w:lang w:val="fr-FR"/>
        </w:rPr>
        <w:t>également été employé pour réaliser le contour du corps, du manche et de la tête de</w:t>
      </w:r>
      <w:r w:rsidR="00D86DFA" w:rsidRPr="00D86DFA">
        <w:rPr>
          <w:sz w:val="24"/>
          <w:szCs w:val="24"/>
        </w:rPr>
        <w:t> </w:t>
      </w:r>
      <w:r w:rsidRPr="00F964C8">
        <w:rPr>
          <w:rFonts w:eastAsia="Times New Roman" w:cs="Calibri"/>
          <w:sz w:val="24"/>
          <w:szCs w:val="24"/>
          <w:lang w:val="fr-FR"/>
        </w:rPr>
        <w:t>la guitare. La touche et le sillet de la tête en ziricote complètent les incrustations en</w:t>
      </w:r>
      <w:r w:rsidR="00D86DFA" w:rsidRPr="00D86DFA">
        <w:rPr>
          <w:sz w:val="24"/>
          <w:szCs w:val="24"/>
        </w:rPr>
        <w:t> </w:t>
      </w:r>
      <w:r w:rsidRPr="00F964C8">
        <w:rPr>
          <w:rFonts w:eastAsia="Times New Roman" w:cs="Calibri"/>
          <w:sz w:val="24"/>
          <w:szCs w:val="24"/>
          <w:lang w:val="fr-FR"/>
        </w:rPr>
        <w:t>nacre Redshift. Son appellation vient du phénomène physique cosmique lorsque, pendant l’expansion de l’espace, les ondes lumineuses électromagnétiques s’étirent et</w:t>
      </w:r>
      <w:r w:rsidR="00D86DFA" w:rsidRPr="00D86DFA">
        <w:rPr>
          <w:sz w:val="24"/>
          <w:szCs w:val="24"/>
        </w:rPr>
        <w:t> </w:t>
      </w:r>
      <w:r w:rsidRPr="00F964C8">
        <w:rPr>
          <w:rFonts w:eastAsia="Times New Roman" w:cs="Calibri"/>
          <w:sz w:val="24"/>
          <w:szCs w:val="24"/>
          <w:lang w:val="fr-FR"/>
        </w:rPr>
        <w:t>se teintent progressivement de rouge.</w:t>
      </w:r>
    </w:p>
    <w:p w14:paraId="557B840D" w14:textId="265EEE9F" w:rsidR="00F964C8" w:rsidRPr="00F964C8" w:rsidRDefault="00F964C8" w:rsidP="00F964C8">
      <w:pPr>
        <w:spacing w:before="120" w:after="0" w:line="240" w:lineRule="auto"/>
        <w:jc w:val="both"/>
        <w:rPr>
          <w:rFonts w:eastAsia="Times New Roman" w:cs="Calibri"/>
          <w:sz w:val="24"/>
          <w:szCs w:val="24"/>
          <w:lang w:val="fr-FR"/>
        </w:rPr>
      </w:pPr>
      <w:r w:rsidRPr="00F964C8">
        <w:rPr>
          <w:rFonts w:eastAsia="Times New Roman" w:cs="Calibri"/>
          <w:sz w:val="24"/>
          <w:szCs w:val="24"/>
          <w:lang w:val="fr-FR"/>
        </w:rPr>
        <w:t xml:space="preserve">« </w:t>
      </w:r>
      <w:r w:rsidRPr="00024B8C">
        <w:rPr>
          <w:rFonts w:eastAsia="Times New Roman" w:cs="Calibri"/>
          <w:i/>
          <w:iCs/>
          <w:sz w:val="24"/>
          <w:szCs w:val="24"/>
          <w:lang w:val="fr-FR"/>
        </w:rPr>
        <w:t>J’ai réalisé qu’un phénomène similaire se produisait également sur la touche de</w:t>
      </w:r>
      <w:r w:rsidR="00D86DFA" w:rsidRPr="00024B8C">
        <w:rPr>
          <w:i/>
          <w:iCs/>
          <w:sz w:val="24"/>
          <w:szCs w:val="24"/>
        </w:rPr>
        <w:t> </w:t>
      </w:r>
      <w:r w:rsidRPr="00024B8C">
        <w:rPr>
          <w:rFonts w:eastAsia="Times New Roman" w:cs="Calibri"/>
          <w:i/>
          <w:iCs/>
          <w:sz w:val="24"/>
          <w:szCs w:val="24"/>
          <w:lang w:val="fr-FR"/>
        </w:rPr>
        <w:t>la</w:t>
      </w:r>
      <w:r w:rsidR="00D86DFA" w:rsidRPr="00024B8C">
        <w:rPr>
          <w:i/>
          <w:iCs/>
          <w:sz w:val="24"/>
          <w:szCs w:val="24"/>
        </w:rPr>
        <w:t> </w:t>
      </w:r>
      <w:r w:rsidRPr="00024B8C">
        <w:rPr>
          <w:rFonts w:eastAsia="Times New Roman" w:cs="Calibri"/>
          <w:i/>
          <w:iCs/>
          <w:sz w:val="24"/>
          <w:szCs w:val="24"/>
          <w:lang w:val="fr-FR"/>
        </w:rPr>
        <w:t>guitare elle-même, se manifestant par une extension des demi-teintes et de ce fait de la position des frettes. En collaboration avec nos designers, nous avons tenté de</w:t>
      </w:r>
      <w:r w:rsidR="00D86DFA" w:rsidRPr="00024B8C">
        <w:rPr>
          <w:i/>
          <w:iCs/>
          <w:sz w:val="24"/>
          <w:szCs w:val="24"/>
        </w:rPr>
        <w:t> </w:t>
      </w:r>
      <w:r w:rsidRPr="00024B8C">
        <w:rPr>
          <w:rFonts w:eastAsia="Times New Roman" w:cs="Calibri"/>
          <w:i/>
          <w:iCs/>
          <w:sz w:val="24"/>
          <w:szCs w:val="24"/>
          <w:lang w:val="fr-FR"/>
        </w:rPr>
        <w:t>le</w:t>
      </w:r>
      <w:r w:rsidR="00D86DFA" w:rsidRPr="00024B8C">
        <w:rPr>
          <w:i/>
          <w:iCs/>
          <w:sz w:val="24"/>
          <w:szCs w:val="24"/>
        </w:rPr>
        <w:t> </w:t>
      </w:r>
      <w:r w:rsidRPr="00024B8C">
        <w:rPr>
          <w:rFonts w:eastAsia="Times New Roman" w:cs="Calibri"/>
          <w:i/>
          <w:iCs/>
          <w:sz w:val="24"/>
          <w:szCs w:val="24"/>
          <w:lang w:val="fr-FR"/>
        </w:rPr>
        <w:t xml:space="preserve">représenter graphiquement. Ainsi, nous avons obtenu une incrustation ondulatoire qui s’étend en continu depuis l’orifice acoustique jusqu’au sillet de la tête, en passant </w:t>
      </w:r>
      <w:r w:rsidRPr="00024B8C">
        <w:rPr>
          <w:rFonts w:eastAsia="Times New Roman" w:cs="Calibri"/>
          <w:i/>
          <w:iCs/>
          <w:sz w:val="24"/>
          <w:szCs w:val="24"/>
          <w:lang w:val="fr-FR"/>
        </w:rPr>
        <w:lastRenderedPageBreak/>
        <w:t>par</w:t>
      </w:r>
      <w:r w:rsidR="00024B8C" w:rsidRPr="00D86DFA">
        <w:rPr>
          <w:sz w:val="24"/>
          <w:szCs w:val="24"/>
        </w:rPr>
        <w:t> </w:t>
      </w:r>
      <w:r w:rsidRPr="00024B8C">
        <w:rPr>
          <w:rFonts w:eastAsia="Times New Roman" w:cs="Calibri"/>
          <w:i/>
          <w:iCs/>
          <w:sz w:val="24"/>
          <w:szCs w:val="24"/>
          <w:lang w:val="fr-FR"/>
        </w:rPr>
        <w:t>l’ensemble de la touche sans interruption</w:t>
      </w:r>
      <w:r w:rsidRPr="00F964C8">
        <w:rPr>
          <w:rFonts w:eastAsia="Times New Roman" w:cs="Calibri"/>
          <w:sz w:val="24"/>
          <w:szCs w:val="24"/>
          <w:lang w:val="fr-FR"/>
        </w:rPr>
        <w:t xml:space="preserve"> », explique Petr Furch, directeur de</w:t>
      </w:r>
      <w:r w:rsidR="00D86DFA" w:rsidRPr="00D86DFA">
        <w:rPr>
          <w:sz w:val="24"/>
          <w:szCs w:val="24"/>
        </w:rPr>
        <w:t> </w:t>
      </w:r>
      <w:r w:rsidRPr="00F964C8">
        <w:rPr>
          <w:rFonts w:eastAsia="Times New Roman" w:cs="Calibri"/>
          <w:sz w:val="24"/>
          <w:szCs w:val="24"/>
          <w:lang w:val="fr-FR"/>
        </w:rPr>
        <w:t>la</w:t>
      </w:r>
      <w:r w:rsidR="00D86DFA" w:rsidRPr="00D86DFA">
        <w:rPr>
          <w:sz w:val="24"/>
          <w:szCs w:val="24"/>
        </w:rPr>
        <w:t> </w:t>
      </w:r>
      <w:r w:rsidRPr="00F964C8">
        <w:rPr>
          <w:rFonts w:eastAsia="Times New Roman" w:cs="Calibri"/>
          <w:sz w:val="24"/>
          <w:szCs w:val="24"/>
          <w:lang w:val="fr-FR"/>
        </w:rPr>
        <w:t>société Furch Guitars.</w:t>
      </w:r>
    </w:p>
    <w:p w14:paraId="2C2C373E" w14:textId="5CBC8A1C" w:rsidR="00437FD3" w:rsidRPr="00437FD3" w:rsidRDefault="00F964C8" w:rsidP="00F964C8">
      <w:pPr>
        <w:spacing w:before="120" w:after="0" w:line="240" w:lineRule="auto"/>
        <w:jc w:val="both"/>
        <w:rPr>
          <w:rFonts w:eastAsia="Times New Roman" w:cs="Calibri"/>
          <w:sz w:val="24"/>
          <w:szCs w:val="24"/>
          <w:lang w:val="fr-FR"/>
        </w:rPr>
      </w:pPr>
      <w:r w:rsidRPr="00F964C8">
        <w:rPr>
          <w:rFonts w:eastAsia="Times New Roman" w:cs="Calibri"/>
          <w:sz w:val="24"/>
          <w:szCs w:val="24"/>
          <w:lang w:val="fr-FR"/>
        </w:rPr>
        <w:t>Le modèle Furch Limited 2019 GSc-LC est équipé du mécanisme de réglage haut de</w:t>
      </w:r>
      <w:r w:rsidR="00D86DFA" w:rsidRPr="00D86DFA">
        <w:rPr>
          <w:sz w:val="24"/>
          <w:szCs w:val="24"/>
        </w:rPr>
        <w:t> </w:t>
      </w:r>
      <w:r w:rsidRPr="00F964C8">
        <w:rPr>
          <w:rFonts w:eastAsia="Times New Roman" w:cs="Calibri"/>
          <w:sz w:val="24"/>
          <w:szCs w:val="24"/>
          <w:lang w:val="fr-FR"/>
        </w:rPr>
        <w:t>gamme Gotoh 510 en or patiné, complété de chevilles en ébène poli et</w:t>
      </w:r>
      <w:r w:rsidR="00D86DFA" w:rsidRPr="00D86DFA">
        <w:rPr>
          <w:sz w:val="24"/>
          <w:szCs w:val="24"/>
        </w:rPr>
        <w:t> </w:t>
      </w:r>
      <w:r w:rsidRPr="00F964C8">
        <w:rPr>
          <w:rFonts w:eastAsia="Times New Roman" w:cs="Calibri"/>
          <w:sz w:val="24"/>
          <w:szCs w:val="24"/>
          <w:lang w:val="fr-FR"/>
        </w:rPr>
        <w:t>de</w:t>
      </w:r>
      <w:r w:rsidR="00D86DFA" w:rsidRPr="00D86DFA">
        <w:rPr>
          <w:sz w:val="24"/>
          <w:szCs w:val="24"/>
        </w:rPr>
        <w:t> </w:t>
      </w:r>
      <w:r w:rsidRPr="00F964C8">
        <w:rPr>
          <w:rFonts w:eastAsia="Times New Roman" w:cs="Calibri"/>
          <w:sz w:val="24"/>
          <w:szCs w:val="24"/>
          <w:lang w:val="fr-FR"/>
        </w:rPr>
        <w:t>mécaniques de haute précision de 1:21. L’étui rigide de haute qualité Hiscox assure par ailleurs la sécurité de l’instrument pendant son transport.</w:t>
      </w:r>
    </w:p>
    <w:p w14:paraId="5B6F248F" w14:textId="475D06BF" w:rsidR="000639EB" w:rsidRDefault="00F964C8" w:rsidP="00437FD3">
      <w:pPr>
        <w:spacing w:before="120" w:after="0" w:line="240" w:lineRule="auto"/>
        <w:jc w:val="both"/>
        <w:rPr>
          <w:rFonts w:eastAsia="Times New Roman" w:cs="Calibri"/>
          <w:sz w:val="24"/>
          <w:szCs w:val="24"/>
          <w:lang w:val="fr-FR"/>
        </w:rPr>
      </w:pPr>
      <w:r w:rsidRPr="00F964C8">
        <w:rPr>
          <w:rFonts w:eastAsia="Times New Roman" w:cs="Calibri"/>
          <w:sz w:val="24"/>
          <w:szCs w:val="24"/>
          <w:lang w:val="fr-FR"/>
        </w:rPr>
        <w:t>La guitare Furch Limited 2019 GSc-LC est disponible en un nombre limité de 80 pièces. À</w:t>
      </w:r>
      <w:r w:rsidR="00D86DFA" w:rsidRPr="00D86DFA">
        <w:rPr>
          <w:sz w:val="24"/>
          <w:szCs w:val="24"/>
        </w:rPr>
        <w:t> </w:t>
      </w:r>
      <w:r w:rsidRPr="00F964C8">
        <w:rPr>
          <w:rFonts w:eastAsia="Times New Roman" w:cs="Calibri"/>
          <w:sz w:val="24"/>
          <w:szCs w:val="24"/>
          <w:lang w:val="fr-FR"/>
        </w:rPr>
        <w:t>l’instar des modèles en édition limitée précédents, le nombre de guitares fabriquées est définitif et une conception identique de l’instrument ne sera pas appliquée aux</w:t>
      </w:r>
      <w:r w:rsidR="00D86DFA" w:rsidRPr="00D86DFA">
        <w:rPr>
          <w:sz w:val="24"/>
          <w:szCs w:val="24"/>
        </w:rPr>
        <w:t> </w:t>
      </w:r>
      <w:r w:rsidRPr="00F964C8">
        <w:rPr>
          <w:rFonts w:eastAsia="Times New Roman" w:cs="Calibri"/>
          <w:sz w:val="24"/>
          <w:szCs w:val="24"/>
          <w:lang w:val="fr-FR"/>
        </w:rPr>
        <w:t>autres modèles produits ultérieurement.</w:t>
      </w:r>
    </w:p>
    <w:p w14:paraId="42145FC6" w14:textId="5739B204"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le siège de la société se trouvent à Velké Němčice,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Al di Meola, Suzanne Vega, Per Gessle, Glen Hansard</w:t>
      </w:r>
      <w:r w:rsidR="00590DB3">
        <w:rPr>
          <w:rFonts w:cs="Calibri"/>
          <w:sz w:val="20"/>
          <w:szCs w:val="20"/>
          <w:lang w:val="fr-FR"/>
        </w:rPr>
        <w:t xml:space="preserve"> ou</w:t>
      </w:r>
      <w:r w:rsidRPr="00546BFA">
        <w:rPr>
          <w:rFonts w:cs="Calibri"/>
          <w:sz w:val="20"/>
          <w:szCs w:val="20"/>
          <w:lang w:val="fr-FR"/>
        </w:rPr>
        <w:t xml:space="preserve"> Calum Graham.</w:t>
      </w:r>
      <w:r w:rsidR="002F442C" w:rsidRPr="00546BFA">
        <w:rPr>
          <w:rFonts w:cs="Calibri"/>
          <w:sz w:val="20"/>
          <w:szCs w:val="20"/>
          <w:lang w:val="fr-FR"/>
        </w:rPr>
        <w:t xml:space="preserve"> </w:t>
      </w:r>
      <w:r w:rsidRPr="00546BFA">
        <w:rPr>
          <w:rFonts w:cs="Calibri"/>
          <w:sz w:val="20"/>
          <w:szCs w:val="20"/>
          <w:lang w:val="fr-FR"/>
        </w:rPr>
        <w:t>Pour plus d’informations veuillez vous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015BEE" w:rsidRDefault="00E218FA" w:rsidP="00E218FA">
      <w:pPr>
        <w:pStyle w:val="Normlnweb"/>
        <w:spacing w:before="240" w:beforeAutospacing="0" w:after="240" w:afterAutospacing="0"/>
        <w:jc w:val="center"/>
        <w:rPr>
          <w:rFonts w:ascii="Calibri" w:hAnsi="Calibri" w:cs="Calibri"/>
          <w:sz w:val="20"/>
          <w:szCs w:val="20"/>
          <w:lang w:val="es-ES" w:eastAsia="en-US"/>
        </w:rPr>
      </w:pPr>
      <w:r w:rsidRPr="00015BEE">
        <w:rPr>
          <w:rFonts w:ascii="Calibri" w:hAnsi="Calibri" w:cs="Calibri"/>
          <w:sz w:val="20"/>
          <w:szCs w:val="20"/>
          <w:lang w:val="es-ES" w:eastAsia="en-US"/>
        </w:rPr>
        <w:t># # # FIN # # #</w:t>
      </w:r>
    </w:p>
    <w:p w14:paraId="5120E7D0" w14:textId="7E0BF49B" w:rsidR="00580DF3" w:rsidRPr="00015BEE" w:rsidRDefault="00546BFA" w:rsidP="00403DDB">
      <w:pPr>
        <w:spacing w:before="120" w:after="0" w:line="240" w:lineRule="auto"/>
        <w:jc w:val="both"/>
        <w:rPr>
          <w:rFonts w:cs="Calibri"/>
          <w:sz w:val="24"/>
          <w:szCs w:val="24"/>
          <w:lang w:val="es-ES"/>
        </w:rPr>
      </w:pPr>
      <w:r w:rsidRPr="00015BEE">
        <w:rPr>
          <w:rFonts w:asciiTheme="minorHAnsi" w:hAnsiTheme="minorHAnsi" w:cstheme="minorHAnsi"/>
          <w:b/>
          <w:sz w:val="20"/>
          <w:szCs w:val="20"/>
          <w:lang w:val="es-ES"/>
        </w:rPr>
        <w:t>Contact</w:t>
      </w:r>
      <w:r w:rsidR="002F442C" w:rsidRPr="00015BEE">
        <w:rPr>
          <w:rFonts w:asciiTheme="minorHAnsi" w:hAnsiTheme="minorHAnsi" w:cstheme="minorHAnsi"/>
          <w:b/>
          <w:sz w:val="20"/>
          <w:szCs w:val="20"/>
          <w:lang w:val="es-ES"/>
        </w:rPr>
        <w:t xml:space="preserve">: </w:t>
      </w:r>
      <w:r w:rsidR="002F442C" w:rsidRPr="00015BEE">
        <w:rPr>
          <w:rFonts w:asciiTheme="minorHAnsi" w:hAnsiTheme="minorHAnsi" w:cstheme="minorHAnsi"/>
          <w:sz w:val="20"/>
          <w:szCs w:val="20"/>
          <w:lang w:val="es-ES"/>
        </w:rPr>
        <w:t xml:space="preserve">Klára Ariño, </w:t>
      </w:r>
      <w:hyperlink r:id="rId9" w:history="1">
        <w:r w:rsidR="002F442C" w:rsidRPr="00015BEE">
          <w:rPr>
            <w:rStyle w:val="Hypertextovodkaz"/>
            <w:rFonts w:asciiTheme="minorHAnsi" w:hAnsiTheme="minorHAnsi" w:cstheme="minorHAnsi"/>
            <w:color w:val="auto"/>
            <w:sz w:val="20"/>
            <w:szCs w:val="20"/>
            <w:u w:val="none"/>
            <w:lang w:val="es-ES"/>
          </w:rPr>
          <w:t>press@furchguitars.com</w:t>
        </w:r>
      </w:hyperlink>
      <w:r w:rsidR="002F442C" w:rsidRPr="00015BEE">
        <w:rPr>
          <w:rStyle w:val="Hypertextovodkaz"/>
          <w:rFonts w:asciiTheme="minorHAnsi" w:hAnsiTheme="minorHAnsi" w:cstheme="minorHAnsi"/>
          <w:color w:val="auto"/>
          <w:sz w:val="20"/>
          <w:szCs w:val="20"/>
          <w:u w:val="none"/>
          <w:lang w:val="es-ES"/>
        </w:rPr>
        <w:t xml:space="preserve">, </w:t>
      </w:r>
      <w:r w:rsidR="002F442C" w:rsidRPr="00015BEE">
        <w:rPr>
          <w:rFonts w:asciiTheme="minorHAnsi" w:hAnsiTheme="minorHAnsi" w:cstheme="minorHAnsi"/>
          <w:sz w:val="20"/>
          <w:szCs w:val="20"/>
          <w:lang w:val="es-ES"/>
        </w:rPr>
        <w:t>+420 777 728 091</w:t>
      </w:r>
    </w:p>
    <w:sectPr w:rsidR="00580DF3" w:rsidRPr="00015BEE"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D1B1" w14:textId="77777777" w:rsidR="007803DA" w:rsidRDefault="007803DA" w:rsidP="000A2293">
      <w:pPr>
        <w:spacing w:after="0" w:line="240" w:lineRule="auto"/>
      </w:pPr>
      <w:r>
        <w:separator/>
      </w:r>
    </w:p>
  </w:endnote>
  <w:endnote w:type="continuationSeparator" w:id="0">
    <w:p w14:paraId="6F41E20A" w14:textId="77777777" w:rsidR="007803DA" w:rsidRDefault="007803DA"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4402E107"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" filled="f" stroked="f">
              <o:lock v:ext="edit" shapetype="t"/>
              <v:textbox>
                <w:txbxContent>
                  <w:p w14:paraId="75ACC363" w14:textId="4402E107"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3527DA" w:rsidRPr="003527DA">
      <w:rPr>
        <w:color w:val="808080"/>
        <w:sz w:val="16"/>
        <w:szCs w:val="16"/>
      </w:rPr>
      <w:t>Tél.</w:t>
    </w:r>
    <w:r w:rsidRPr="00A63C8D">
      <w:rPr>
        <w:color w:val="808080"/>
        <w:sz w:val="16"/>
        <w:szCs w:val="16"/>
      </w:rPr>
      <w:t xml:space="preserve">: +420 519 417 285 • </w:t>
    </w:r>
    <w:r w:rsidR="003527DA" w:rsidRPr="003527DA">
      <w:rPr>
        <w:color w:val="808080"/>
        <w:sz w:val="16"/>
        <w:szCs w:val="16"/>
      </w:rPr>
      <w:t>Émail</w:t>
    </w:r>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9150" w14:textId="77777777" w:rsidR="007803DA" w:rsidRDefault="007803DA" w:rsidP="000A2293">
      <w:pPr>
        <w:spacing w:after="0" w:line="240" w:lineRule="auto"/>
      </w:pPr>
      <w:r>
        <w:separator/>
      </w:r>
    </w:p>
  </w:footnote>
  <w:footnote w:type="continuationSeparator" w:id="0">
    <w:p w14:paraId="5D2B64CC" w14:textId="77777777" w:rsidR="007803DA" w:rsidRDefault="007803DA"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5BEE"/>
    <w:rsid w:val="000163C1"/>
    <w:rsid w:val="00016F91"/>
    <w:rsid w:val="000206FA"/>
    <w:rsid w:val="00022B3D"/>
    <w:rsid w:val="000234FE"/>
    <w:rsid w:val="00024074"/>
    <w:rsid w:val="00024B8C"/>
    <w:rsid w:val="000251D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9EB"/>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9A0"/>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AC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41E"/>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07A3"/>
    <w:rsid w:val="002D11AD"/>
    <w:rsid w:val="002D20CB"/>
    <w:rsid w:val="002D2664"/>
    <w:rsid w:val="002D3116"/>
    <w:rsid w:val="002D4417"/>
    <w:rsid w:val="002D47AC"/>
    <w:rsid w:val="002D7949"/>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3EF4"/>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6E8D"/>
    <w:rsid w:val="00387E88"/>
    <w:rsid w:val="003901F6"/>
    <w:rsid w:val="00391448"/>
    <w:rsid w:val="003914CC"/>
    <w:rsid w:val="00392406"/>
    <w:rsid w:val="003924A5"/>
    <w:rsid w:val="00392586"/>
    <w:rsid w:val="00395017"/>
    <w:rsid w:val="00395DD6"/>
    <w:rsid w:val="00397FAD"/>
    <w:rsid w:val="003A2F6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37429"/>
    <w:rsid w:val="00437FD3"/>
    <w:rsid w:val="00440703"/>
    <w:rsid w:val="00441406"/>
    <w:rsid w:val="004431A3"/>
    <w:rsid w:val="004433A5"/>
    <w:rsid w:val="004433DB"/>
    <w:rsid w:val="00443595"/>
    <w:rsid w:val="00444A51"/>
    <w:rsid w:val="00444B6E"/>
    <w:rsid w:val="00444BE6"/>
    <w:rsid w:val="0044544F"/>
    <w:rsid w:val="0044568B"/>
    <w:rsid w:val="0045044B"/>
    <w:rsid w:val="004533F3"/>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0058"/>
    <w:rsid w:val="004910A1"/>
    <w:rsid w:val="00496D2F"/>
    <w:rsid w:val="004A062E"/>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023B"/>
    <w:rsid w:val="004D19CB"/>
    <w:rsid w:val="004D38D1"/>
    <w:rsid w:val="004D40E7"/>
    <w:rsid w:val="004D62CB"/>
    <w:rsid w:val="004D6DCA"/>
    <w:rsid w:val="004E235D"/>
    <w:rsid w:val="004E3437"/>
    <w:rsid w:val="004E36F0"/>
    <w:rsid w:val="004E3B4E"/>
    <w:rsid w:val="004E400E"/>
    <w:rsid w:val="004E4944"/>
    <w:rsid w:val="004E526C"/>
    <w:rsid w:val="004E581A"/>
    <w:rsid w:val="004E5A3B"/>
    <w:rsid w:val="004E5F40"/>
    <w:rsid w:val="004E6842"/>
    <w:rsid w:val="004F1B2B"/>
    <w:rsid w:val="004F1D73"/>
    <w:rsid w:val="004F37FD"/>
    <w:rsid w:val="004F3A21"/>
    <w:rsid w:val="004F65EF"/>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87DB2"/>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A6887"/>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8EE"/>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904"/>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6C7A"/>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3DA"/>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043"/>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0612"/>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097"/>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2E2C"/>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2C84"/>
    <w:rsid w:val="00984037"/>
    <w:rsid w:val="0098469F"/>
    <w:rsid w:val="00985049"/>
    <w:rsid w:val="009853D7"/>
    <w:rsid w:val="00987688"/>
    <w:rsid w:val="00990654"/>
    <w:rsid w:val="0099149C"/>
    <w:rsid w:val="009917FE"/>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021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574"/>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497E"/>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7CB"/>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24"/>
    <w:rsid w:val="00BA7383"/>
    <w:rsid w:val="00BA7A4F"/>
    <w:rsid w:val="00BB0B86"/>
    <w:rsid w:val="00BB0DB3"/>
    <w:rsid w:val="00BB133B"/>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62BA"/>
    <w:rsid w:val="00CC7721"/>
    <w:rsid w:val="00CD0A72"/>
    <w:rsid w:val="00CD0E8F"/>
    <w:rsid w:val="00CD2B4C"/>
    <w:rsid w:val="00CD3E9E"/>
    <w:rsid w:val="00CD4733"/>
    <w:rsid w:val="00CD5BE1"/>
    <w:rsid w:val="00CD6759"/>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D52"/>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6DFA"/>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4CE5"/>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1AAF"/>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64C8"/>
    <w:rsid w:val="00F97868"/>
    <w:rsid w:val="00FA22E1"/>
    <w:rsid w:val="00FA2825"/>
    <w:rsid w:val="00FA2AF8"/>
    <w:rsid w:val="00FA3838"/>
    <w:rsid w:val="00FA3BB7"/>
    <w:rsid w:val="00FA4763"/>
    <w:rsid w:val="00FA54BB"/>
    <w:rsid w:val="00FA73C9"/>
    <w:rsid w:val="00FA7C51"/>
    <w:rsid w:val="00FA7D30"/>
    <w:rsid w:val="00FB14B7"/>
    <w:rsid w:val="00FB18AA"/>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7804BC6-1306-40AB-AF6E-7D2F8E85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639</Words>
  <Characters>3774</Characters>
  <Application>Microsoft Office Word</Application>
  <DocSecurity>0</DocSecurity>
  <Lines>31</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19</cp:revision>
  <cp:lastPrinted>2018-12-20T10:44:00Z</cp:lastPrinted>
  <dcterms:created xsi:type="dcterms:W3CDTF">2019-05-15T15:28:00Z</dcterms:created>
  <dcterms:modified xsi:type="dcterms:W3CDTF">2019-07-16T10:26:00Z</dcterms:modified>
</cp:coreProperties>
</file>