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b w:val="1"/>
          <w:color w:val="808080"/>
          <w:sz w:val="36"/>
          <w:szCs w:val="36"/>
          <w:rtl w:val="0"/>
        </w:rPr>
        <w:t xml:space="preserve">Furch Guitars ha creado una guitarra acústica de edición especial de aniversario para sus guitarristas actuales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-1123949</wp:posOffset>
                </wp:positionH>
                <wp:positionV relativeFrom="paragraph">
                  <wp:posOffset>68898</wp:posOffset>
                </wp:positionV>
                <wp:extent cx="771525" cy="6998653"/>
                <wp:effectExtent b="0" l="0" r="0" t="0"/>
                <wp:wrapNone/>
                <wp:docPr id="17" name=""/>
                <a:graphic>
                  <a:graphicData uri="http://schemas.microsoft.com/office/word/2010/wordprocessingShape">
                    <wps:wsp>
                      <wps:cNvSpPr/>
                      <wps:cNvPr id="2" name="Shape 2"/>
                      <wps:spPr>
                        <a:xfrm rot="-5400000">
                          <a:off x="2048432" y="2727657"/>
                          <a:ext cx="6641711" cy="77577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dddddd"/>
                                <w:sz w:val="144"/>
                                <w:vertAlign w:val="baseline"/>
                              </w:rPr>
                              <w:t xml:space="preserve">NOTA DE PRENSA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-1123949</wp:posOffset>
                </wp:positionH>
                <wp:positionV relativeFrom="paragraph">
                  <wp:posOffset>68898</wp:posOffset>
                </wp:positionV>
                <wp:extent cx="771525" cy="6998653"/>
                <wp:effectExtent b="0" l="0" r="0" t="0"/>
                <wp:wrapNone/>
                <wp:docPr id="1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71525" cy="6998653"/>
                        </a:xfrm>
                        <a:prstGeom prst="rect"/>
                        <a:ln/>
                      </pic:spPr>
                    </pic:pic>
                  </a:graphicData>
                </a:graphic>
              </wp:anchor>
            </w:drawing>
          </mc:Fallback>
        </mc:AlternateContent>
      </w:r>
    </w:p>
    <w:p w:rsidR="00000000" w:rsidDel="00000000" w:rsidP="00000000" w:rsidRDefault="00000000" w:rsidRPr="00000000" w14:paraId="00000002">
      <w:pPr>
        <w:spacing w:after="240" w:before="0" w:line="259.20000000000005"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Velke Nemcice, </w:t>
      </w:r>
      <w:r w:rsidDel="00000000" w:rsidR="00000000" w:rsidRPr="00000000">
        <w:rPr>
          <w:b w:val="1"/>
          <w:sz w:val="24"/>
          <w:szCs w:val="24"/>
          <w:rtl w:val="0"/>
        </w:rPr>
        <w:t xml:space="preserve">la República Checa</w:t>
      </w: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27 de septiembre de 2021</w:t>
      </w:r>
      <w:r w:rsidDel="00000000" w:rsidR="00000000" w:rsidRPr="00000000">
        <w:rPr>
          <w:rFonts w:ascii="Calibri" w:cs="Calibri" w:eastAsia="Calibri" w:hAnsi="Calibri"/>
          <w:b w:val="1"/>
          <w:sz w:val="24"/>
          <w:szCs w:val="24"/>
          <w:rtl w:val="0"/>
        </w:rPr>
        <w:t xml:space="preserve"> - Furch Guitars (</w:t>
      </w:r>
      <w:hyperlink r:id="rId8">
        <w:r w:rsidDel="00000000" w:rsidR="00000000" w:rsidRPr="00000000">
          <w:rPr>
            <w:rFonts w:ascii="Calibri" w:cs="Calibri" w:eastAsia="Calibri" w:hAnsi="Calibri"/>
            <w:b w:val="1"/>
            <w:color w:val="808080"/>
            <w:sz w:val="24"/>
            <w:szCs w:val="24"/>
            <w:u w:val="single"/>
            <w:rtl w:val="0"/>
          </w:rPr>
          <w:t xml:space="preserve">Furch</w:t>
        </w:r>
      </w:hyperlink>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uno de los principales fabricantes de guitarras de primera calidad en el mundo, ha creado  una edición especial limitada de instrumentos acústicos para celebrar su cuarenta cumpleaños, que incluye también la guitarra Furch número 100.000.  Esta edición especial estará disponible solamente para propietarios que ya tengan una o más guitarras de la marca.</w:t>
      </w:r>
      <w:r w:rsidDel="00000000" w:rsidR="00000000" w:rsidRPr="00000000">
        <w:rPr>
          <w:rtl w:val="0"/>
        </w:rPr>
      </w:r>
    </w:p>
    <w:p w:rsidR="00000000" w:rsidDel="00000000" w:rsidP="00000000" w:rsidRDefault="00000000" w:rsidRPr="00000000" w14:paraId="00000003">
      <w:pPr>
        <w:spacing w:after="120" w:before="0" w:line="259.20000000000005" w:lineRule="auto"/>
        <w:jc w:val="both"/>
        <w:rPr>
          <w:sz w:val="24"/>
          <w:szCs w:val="24"/>
        </w:rPr>
      </w:pPr>
      <w:r w:rsidDel="00000000" w:rsidR="00000000" w:rsidRPr="00000000">
        <w:rPr>
          <w:sz w:val="24"/>
          <w:szCs w:val="24"/>
          <w:rtl w:val="0"/>
        </w:rPr>
        <w:t xml:space="preserve">Este mes de septiembre se cumplen exactamente cuarenta años desde que Frantisek Furch terminó de fabricar su primera guitarra. Aunque fue su primer trabajo, el instrumento generó una ola de interés entre los músicos y se convirtió en la piedra angular de Furch Guitars. Para celebrarlo, la empresa ha producido una edición especial limitada de cuarenta guitarras acústicas de primera calidad con un diseño de corte Grand Auditorium, lo que ofrece a los guitarristas un resumen de lo mejor del mundo Furch.</w:t>
      </w:r>
    </w:p>
    <w:p w:rsidR="00000000" w:rsidDel="00000000" w:rsidP="00000000" w:rsidRDefault="00000000" w:rsidRPr="00000000" w14:paraId="00000004">
      <w:pPr>
        <w:spacing w:after="240" w:before="0" w:line="240" w:lineRule="auto"/>
        <w:jc w:val="both"/>
        <w:rPr>
          <w:rFonts w:ascii="Calibri" w:cs="Calibri" w:eastAsia="Calibri" w:hAnsi="Calibri"/>
          <w:sz w:val="24"/>
          <w:szCs w:val="24"/>
        </w:rPr>
      </w:pPr>
      <w:r w:rsidDel="00000000" w:rsidR="00000000" w:rsidRPr="00000000">
        <w:rPr>
          <w:sz w:val="24"/>
          <w:szCs w:val="24"/>
          <w:rtl w:val="0"/>
        </w:rPr>
        <w:t xml:space="preserve">La edición de aniversario también incluye una guitarra con el número de serie mágico 100.000, que Furch va a exponer en su sala de exposiciones de Velke Nemcice. Las 39 piezas restantes saldrán a la venta y estarán disponibles exclusivamente para los actuales propietarios de guitarras Furch. La empresa quiere así agradecerles su confianza</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005">
      <w:pPr>
        <w:spacing w:after="120" w:before="0" w:line="259.20000000000005" w:lineRule="auto"/>
        <w:jc w:val="both"/>
        <w:rPr>
          <w:rFonts w:ascii="Calibri" w:cs="Calibri" w:eastAsia="Calibri" w:hAnsi="Calibri"/>
          <w:b w:val="1"/>
          <w:sz w:val="24"/>
          <w:szCs w:val="24"/>
        </w:rPr>
      </w:pPr>
      <w:r w:rsidDel="00000000" w:rsidR="00000000" w:rsidRPr="00000000">
        <w:rPr>
          <w:b w:val="1"/>
          <w:sz w:val="24"/>
          <w:szCs w:val="24"/>
          <w:rtl w:val="0"/>
        </w:rPr>
        <w:t xml:space="preserve">Edition Forty Gc-LX: una guitarra con un toque de historia</w:t>
      </w:r>
      <w:r w:rsidDel="00000000" w:rsidR="00000000" w:rsidRPr="00000000">
        <w:rPr>
          <w:rtl w:val="0"/>
        </w:rPr>
      </w:r>
    </w:p>
    <w:p w:rsidR="00000000" w:rsidDel="00000000" w:rsidP="00000000" w:rsidRDefault="00000000" w:rsidRPr="00000000" w14:paraId="00000006">
      <w:pPr>
        <w:spacing w:after="120" w:before="0" w:line="259.20000000000005" w:lineRule="auto"/>
        <w:jc w:val="both"/>
        <w:rPr>
          <w:sz w:val="24"/>
          <w:szCs w:val="24"/>
        </w:rPr>
      </w:pPr>
      <w:r w:rsidDel="00000000" w:rsidR="00000000" w:rsidRPr="00000000">
        <w:rPr>
          <w:sz w:val="24"/>
          <w:szCs w:val="24"/>
          <w:rtl w:val="0"/>
        </w:rPr>
        <w:t xml:space="preserve">La Edition Forty Gc-LX está fabricada con una tapa armónica de abeto alpino. El fondo y los aros provienen de un viejo fresno que crecía en el patio de la fábrica original de Furch, que tuvo que ser cortado hace unos años para la renovación del lugar. De este fresno, se seleccionó el mejor material para los juegos de guitarras, que tras años de secado natural se han utilizado para fabricar este modelo de aniversario.</w:t>
      </w:r>
    </w:p>
    <w:p w:rsidR="00000000" w:rsidDel="00000000" w:rsidP="00000000" w:rsidRDefault="00000000" w:rsidRPr="00000000" w14:paraId="00000007">
      <w:pPr>
        <w:spacing w:after="120" w:before="0" w:line="259.20000000000005" w:lineRule="auto"/>
        <w:jc w:val="both"/>
        <w:rPr>
          <w:sz w:val="24"/>
          <w:szCs w:val="24"/>
        </w:rPr>
      </w:pPr>
      <w:r w:rsidDel="00000000" w:rsidR="00000000" w:rsidRPr="00000000">
        <w:rPr>
          <w:sz w:val="24"/>
          <w:szCs w:val="24"/>
          <w:rtl w:val="0"/>
        </w:rPr>
        <w:t xml:space="preserve">Ambos tipos de madera se caracterizan por su sonido claro y brillante, que se ve reforzado por un proceso especial de afinación. Se trata de medir las propiedades físicas de cada una de las partes de las tapas y ajustar su grosor a los valores deseados. El acabado UV de alto brillo, complementado con un sunburst dorado, también tiene un efecto muy positivo en la acústica general del instrumento.</w:t>
      </w:r>
    </w:p>
    <w:p w:rsidR="00000000" w:rsidDel="00000000" w:rsidP="00000000" w:rsidRDefault="00000000" w:rsidRPr="00000000" w14:paraId="00000008">
      <w:pPr>
        <w:spacing w:after="120" w:before="0" w:line="259.20000000000005" w:lineRule="auto"/>
        <w:jc w:val="both"/>
        <w:rPr>
          <w:sz w:val="24"/>
          <w:szCs w:val="24"/>
        </w:rPr>
      </w:pPr>
      <w:r w:rsidDel="00000000" w:rsidR="00000000" w:rsidRPr="00000000">
        <w:rPr>
          <w:sz w:val="24"/>
          <w:szCs w:val="24"/>
          <w:rtl w:val="0"/>
        </w:rPr>
        <w:t xml:space="preserve">La tapa y el fondo de la guitarra incluyen el elemento ergonómico popular Bevel Duo de palisandro indio, que proporciona la máxima comodidad a los guitarristas al tocar la guitarra, a la vez que destaca la excepcional apariencia del instrumento. Cada uno de los </w:t>
      </w:r>
      <w:r w:rsidDel="00000000" w:rsidR="00000000" w:rsidRPr="00000000">
        <w:rPr>
          <w:sz w:val="24"/>
          <w:szCs w:val="24"/>
          <w:rtl w:val="0"/>
        </w:rPr>
        <w:t xml:space="preserve">biseles</w:t>
      </w:r>
      <w:r w:rsidDel="00000000" w:rsidR="00000000" w:rsidRPr="00000000">
        <w:rPr>
          <w:sz w:val="24"/>
          <w:szCs w:val="24"/>
          <w:rtl w:val="0"/>
        </w:rPr>
        <w:t xml:space="preserve"> está adornado con texto en nácar del cuarenta aniversario y la indicación del orden de la guitarra en la edición.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-1066799</wp:posOffset>
                </wp:positionH>
                <wp:positionV relativeFrom="paragraph">
                  <wp:posOffset>571500</wp:posOffset>
                </wp:positionV>
                <wp:extent cx="771525" cy="6998653"/>
                <wp:effectExtent b="0" l="0" r="0" t="0"/>
                <wp:wrapNone/>
                <wp:docPr id="16" name=""/>
                <a:graphic>
                  <a:graphicData uri="http://schemas.microsoft.com/office/word/2010/wordprocessingShape">
                    <wps:wsp>
                      <wps:cNvSpPr/>
                      <wps:cNvPr id="2" name="Shape 2"/>
                      <wps:spPr>
                        <a:xfrm rot="-5400000">
                          <a:off x="2048432" y="2727657"/>
                          <a:ext cx="6641711" cy="77577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dddddd"/>
                                <w:sz w:val="144"/>
                                <w:vertAlign w:val="baseline"/>
                              </w:rPr>
                              <w:t xml:space="preserve">NOTA DE PRENSA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-1066799</wp:posOffset>
                </wp:positionH>
                <wp:positionV relativeFrom="paragraph">
                  <wp:posOffset>571500</wp:posOffset>
                </wp:positionV>
                <wp:extent cx="771525" cy="6998653"/>
                <wp:effectExtent b="0" l="0" r="0" t="0"/>
                <wp:wrapNone/>
                <wp:docPr id="1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71525" cy="6998653"/>
                        </a:xfrm>
                        <a:prstGeom prst="rect"/>
                        <a:ln/>
                      </pic:spPr>
                    </pic:pic>
                  </a:graphicData>
                </a:graphic>
              </wp:anchor>
            </w:drawing>
          </mc:Fallback>
        </mc:AlternateContent>
      </w:r>
    </w:p>
    <w:p w:rsidR="00000000" w:rsidDel="00000000" w:rsidP="00000000" w:rsidRDefault="00000000" w:rsidRPr="00000000" w14:paraId="00000009">
      <w:pPr>
        <w:spacing w:after="120" w:before="0" w:line="259.20000000000005" w:lineRule="auto"/>
        <w:jc w:val="both"/>
        <w:rPr>
          <w:sz w:val="24"/>
          <w:szCs w:val="24"/>
        </w:rPr>
      </w:pPr>
      <w:r w:rsidDel="00000000" w:rsidR="00000000" w:rsidRPr="00000000">
        <w:rPr>
          <w:sz w:val="24"/>
          <w:szCs w:val="24"/>
          <w:rtl w:val="0"/>
        </w:rPr>
        <w:t xml:space="preserve">Más allá de los biseles, elementos de diseño inusuales de la Edition Forty Gc-LX son el diapasón y la </w:t>
      </w:r>
      <w:r w:rsidDel="00000000" w:rsidR="00000000" w:rsidRPr="00000000">
        <w:rPr>
          <w:sz w:val="24"/>
          <w:szCs w:val="24"/>
          <w:rtl w:val="0"/>
        </w:rPr>
        <w:t xml:space="preserve">placa en la cabeza</w:t>
      </w:r>
      <w:r w:rsidDel="00000000" w:rsidR="00000000" w:rsidRPr="00000000">
        <w:rPr>
          <w:sz w:val="24"/>
          <w:szCs w:val="24"/>
          <w:rtl w:val="0"/>
        </w:rPr>
        <w:t xml:space="preserve">,  de cocobolo naranja brillante y ébano negro. Su alternancia impresiona a primera vista por su contraste único. Furch ha utilizado las mismas maderas para las dos piezas de puente. El atractivo general del instrumento se acentúa aún más con la roseta de lujo y el binding del cuerpo, </w:t>
      </w:r>
      <w:r w:rsidDel="00000000" w:rsidR="00000000" w:rsidRPr="00000000">
        <w:rPr>
          <w:sz w:val="24"/>
          <w:szCs w:val="24"/>
          <w:rtl w:val="0"/>
        </w:rPr>
        <w:t xml:space="preserve">la cabeza</w:t>
      </w:r>
      <w:r w:rsidDel="00000000" w:rsidR="00000000" w:rsidRPr="00000000">
        <w:rPr>
          <w:sz w:val="24"/>
          <w:szCs w:val="24"/>
          <w:rtl w:val="0"/>
        </w:rPr>
        <w:t xml:space="preserve"> y el diapasón de palisandro indio. Además, el diapasón de la guitarra cuenta con exclusivos marcadores de posición laterales de nácar blanco.</w:t>
      </w:r>
    </w:p>
    <w:p w:rsidR="00000000" w:rsidDel="00000000" w:rsidP="00000000" w:rsidRDefault="00000000" w:rsidRPr="00000000" w14:paraId="0000000A">
      <w:pPr>
        <w:spacing w:after="240" w:before="0" w:line="259.20000000000005" w:lineRule="auto"/>
        <w:jc w:val="both"/>
        <w:rPr>
          <w:sz w:val="24"/>
          <w:szCs w:val="24"/>
        </w:rPr>
      </w:pPr>
      <w:r w:rsidDel="00000000" w:rsidR="00000000" w:rsidRPr="00000000">
        <w:rPr>
          <w:sz w:val="24"/>
          <w:szCs w:val="24"/>
          <w:rtl w:val="0"/>
        </w:rPr>
        <w:t xml:space="preserve">La afinación precisa del instrumento está garantizada por</w:t>
      </w:r>
      <w:r w:rsidDel="00000000" w:rsidR="00000000" w:rsidRPr="00000000">
        <w:rPr>
          <w:b w:val="1"/>
          <w:sz w:val="24"/>
          <w:szCs w:val="24"/>
          <w:rtl w:val="0"/>
        </w:rPr>
        <w:t xml:space="preserve"> </w:t>
      </w:r>
      <w:r w:rsidDel="00000000" w:rsidR="00000000" w:rsidRPr="00000000">
        <w:rPr>
          <w:sz w:val="24"/>
          <w:szCs w:val="24"/>
          <w:rtl w:val="0"/>
        </w:rPr>
        <w:t xml:space="preserve">las clavijas de afinación Gotoh 510 en pátina de plata con olivas de ébano y una relación de 1:21 muy refinada. El set de la guitarra también incluye una funda Hiscox de primera calidad.</w:t>
      </w:r>
    </w:p>
    <w:p w:rsidR="00000000" w:rsidDel="00000000" w:rsidP="00000000" w:rsidRDefault="00000000" w:rsidRPr="00000000" w14:paraId="0000000B">
      <w:pPr>
        <w:spacing w:after="120" w:before="0" w:line="259.20000000000005" w:lineRule="auto"/>
        <w:jc w:val="both"/>
        <w:rPr>
          <w:b w:val="1"/>
          <w:sz w:val="24"/>
          <w:szCs w:val="24"/>
        </w:rPr>
      </w:pPr>
      <w:r w:rsidDel="00000000" w:rsidR="00000000" w:rsidRPr="00000000">
        <w:rPr>
          <w:b w:val="1"/>
          <w:sz w:val="24"/>
          <w:szCs w:val="24"/>
          <w:rtl w:val="0"/>
        </w:rPr>
        <w:t xml:space="preserve">Destinada exclusivamente a los verdaderos aficionados</w:t>
      </w:r>
    </w:p>
    <w:p w:rsidR="00000000" w:rsidDel="00000000" w:rsidP="00000000" w:rsidRDefault="00000000" w:rsidRPr="00000000" w14:paraId="0000000C">
      <w:pPr>
        <w:spacing w:after="120" w:line="240" w:lineRule="auto"/>
        <w:jc w:val="both"/>
        <w:rPr>
          <w:sz w:val="24"/>
          <w:szCs w:val="24"/>
        </w:rPr>
      </w:pPr>
      <w:r w:rsidDel="00000000" w:rsidR="00000000" w:rsidRPr="00000000">
        <w:rPr>
          <w:sz w:val="24"/>
          <w:szCs w:val="24"/>
          <w:rtl w:val="0"/>
        </w:rPr>
        <w:t xml:space="preserve">El nuevo modelo Edition Forty Gc-LX está disponible en todos los distribuidores autorizados de la marca Furch. Sin embargo, sólo puede ser adquirido por los actuales propietarios de instrumentos Furch que hayan rellenado un formulario para la solicitud de la guitarra de edición limitada con su vendedor. Furch Guitars decidirá en última instancia su aprobación.</w:t>
      </w:r>
    </w:p>
    <w:p w:rsidR="00000000" w:rsidDel="00000000" w:rsidP="00000000" w:rsidRDefault="00000000" w:rsidRPr="00000000" w14:paraId="0000000D">
      <w:pPr>
        <w:spacing w:after="360" w:before="0" w:line="259.20000000000005" w:lineRule="auto"/>
        <w:jc w:val="both"/>
        <w:rPr>
          <w:sz w:val="20"/>
          <w:szCs w:val="20"/>
        </w:rPr>
      </w:pPr>
      <w:r w:rsidDel="00000000" w:rsidR="00000000" w:rsidRPr="00000000">
        <w:rPr>
          <w:i w:val="1"/>
          <w:sz w:val="24"/>
          <w:szCs w:val="24"/>
          <w:rtl w:val="0"/>
        </w:rPr>
        <w:t xml:space="preserve">"El modelo de edición limitada de este año es realmente especial para nosotros, tanto por las fechas significativas que conecta como por los materiales con los que está fabricado.</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Por esta razón, nos comprometemos a que cada una de estas 39 guitarras llegue a manos de nuestros verdaderos aficionados. Para lograr esto, lo que hemos establecido es que tenemos nosotros la última palabra sobre la decisión final de su venta,</w:t>
      </w:r>
      <w:r w:rsidDel="00000000" w:rsidR="00000000" w:rsidRPr="00000000">
        <w:rPr>
          <w:i w:val="1"/>
          <w:sz w:val="24"/>
          <w:szCs w:val="24"/>
          <w:highlight w:val="white"/>
          <w:rtl w:val="0"/>
        </w:rPr>
        <w:t xml:space="preserve">” </w:t>
      </w:r>
      <w:r w:rsidDel="00000000" w:rsidR="00000000" w:rsidRPr="00000000">
        <w:rPr>
          <w:sz w:val="24"/>
          <w:szCs w:val="24"/>
          <w:rtl w:val="0"/>
        </w:rPr>
        <w:t xml:space="preserve">comenta Petr Furch, director general de Furch Guitars</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E">
      <w:pPr>
        <w:spacing w:after="240" w:before="240" w:line="240" w:lineRule="auto"/>
        <w:jc w:val="center"/>
        <w:rPr>
          <w:sz w:val="20"/>
          <w:szCs w:val="20"/>
        </w:rPr>
      </w:pPr>
      <w:r w:rsidDel="00000000" w:rsidR="00000000" w:rsidRPr="00000000">
        <w:rPr>
          <w:sz w:val="20"/>
          <w:szCs w:val="20"/>
          <w:rtl w:val="0"/>
        </w:rPr>
        <w:t xml:space="preserve">• • •</w:t>
      </w:r>
    </w:p>
    <w:p w:rsidR="00000000" w:rsidDel="00000000" w:rsidP="00000000" w:rsidRDefault="00000000" w:rsidRPr="00000000" w14:paraId="0000000F">
      <w:pPr>
        <w:spacing w:after="0" w:line="240" w:lineRule="auto"/>
        <w:jc w:val="both"/>
        <w:rPr>
          <w:sz w:val="24"/>
          <w:szCs w:val="24"/>
        </w:rPr>
      </w:pPr>
      <w:r w:rsidDel="00000000" w:rsidR="00000000" w:rsidRPr="00000000">
        <w:rPr>
          <w:rFonts w:ascii="Calibri" w:cs="Calibri" w:eastAsia="Calibri" w:hAnsi="Calibri"/>
          <w:b w:val="1"/>
          <w:sz w:val="20"/>
          <w:szCs w:val="20"/>
          <w:rtl w:val="0"/>
        </w:rPr>
        <w:t xml:space="preserve">Media Contact: </w:t>
      </w:r>
      <w:r w:rsidDel="00000000" w:rsidR="00000000" w:rsidRPr="00000000">
        <w:rPr>
          <w:rFonts w:ascii="Calibri" w:cs="Calibri" w:eastAsia="Calibri" w:hAnsi="Calibri"/>
          <w:sz w:val="20"/>
          <w:szCs w:val="20"/>
          <w:rtl w:val="0"/>
        </w:rPr>
        <w:t xml:space="preserve">Klára Ariño,</w:t>
      </w:r>
      <w:r w:rsidDel="00000000" w:rsidR="00000000" w:rsidRPr="00000000">
        <w:rPr>
          <w:rtl w:val="0"/>
        </w:rPr>
        <w:t xml:space="preserve"> </w:t>
      </w:r>
      <w:hyperlink r:id="rId10">
        <w:r w:rsidDel="00000000" w:rsidR="00000000" w:rsidRPr="00000000">
          <w:rPr>
            <w:rFonts w:ascii="Calibri" w:cs="Calibri" w:eastAsia="Calibri" w:hAnsi="Calibri"/>
            <w:color w:val="000000"/>
            <w:sz w:val="20"/>
            <w:szCs w:val="20"/>
            <w:u w:val="none"/>
            <w:rtl w:val="0"/>
          </w:rPr>
          <w:t xml:space="preserve">press@furchguitars.com</w:t>
        </w:r>
      </w:hyperlink>
      <w:r w:rsidDel="00000000" w:rsidR="00000000" w:rsidRPr="00000000">
        <w:rPr>
          <w:rFonts w:ascii="Calibri" w:cs="Calibri" w:eastAsia="Calibri" w:hAnsi="Calibri"/>
          <w:color w:val="000000"/>
          <w:sz w:val="20"/>
          <w:szCs w:val="20"/>
          <w:u w:val="none"/>
          <w:rtl w:val="0"/>
        </w:rPr>
        <w:t xml:space="preserve">,</w:t>
      </w:r>
      <w:r w:rsidDel="00000000" w:rsidR="00000000" w:rsidRPr="00000000">
        <w:rPr>
          <w:rFonts w:ascii="Calibri" w:cs="Calibri" w:eastAsia="Calibri" w:hAnsi="Calibri"/>
          <w:sz w:val="20"/>
          <w:szCs w:val="20"/>
          <w:rtl w:val="0"/>
        </w:rPr>
        <w:t xml:space="preserve"> +420 725 861 034</w:t>
      </w:r>
      <w:r w:rsidDel="00000000" w:rsidR="00000000" w:rsidRPr="00000000">
        <w:rPr>
          <w:rtl w:val="0"/>
        </w:rPr>
      </w:r>
    </w:p>
    <w:sectPr>
      <w:headerReference r:id="rId11" w:type="default"/>
      <w:headerReference r:id="rId12" w:type="even"/>
      <w:footerReference r:id="rId13" w:type="default"/>
      <w:pgSz w:h="16838" w:w="11906" w:orient="portrait"/>
      <w:pgMar w:bottom="1871" w:top="3629" w:left="2268" w:right="992" w:header="709" w:footer="5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Furch Guitars • Městečko 27, 691 63 Velké Němčice, Czech Republic • Tel.: +420 519 417 285 • Email: </w:t>
    </w:r>
    <w:hyperlink r:id="rId1">
      <w:r w:rsidDel="00000000" w:rsidR="00000000" w:rsidRPr="00000000">
        <w:rPr>
          <w:rFonts w:ascii="Calibri" w:cs="Calibri" w:eastAsia="Calibri" w:hAnsi="Calibri"/>
          <w:b w:val="0"/>
          <w:i w:val="0"/>
          <w:smallCaps w:val="0"/>
          <w:strike w:val="0"/>
          <w:color w:val="808080"/>
          <w:sz w:val="16"/>
          <w:szCs w:val="16"/>
          <w:u w:val="single"/>
          <w:shd w:fill="auto" w:val="clear"/>
          <w:vertAlign w:val="baseline"/>
          <w:rtl w:val="0"/>
        </w:rPr>
        <w:t xml:space="preserve">info@furchguitars.com</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2159000</wp:posOffset>
          </wp:positionH>
          <wp:positionV relativeFrom="paragraph">
            <wp:posOffset>114300</wp:posOffset>
          </wp:positionV>
          <wp:extent cx="381000" cy="381000"/>
          <wp:effectExtent b="0" l="0" r="0" t="0"/>
          <wp:wrapNone/>
          <wp:docPr id="1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381000" cy="381000"/>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-1269</wp:posOffset>
          </wp:positionH>
          <wp:positionV relativeFrom="page">
            <wp:posOffset>3499</wp:posOffset>
          </wp:positionV>
          <wp:extent cx="7584468" cy="2152650"/>
          <wp:effectExtent b="0" l="0" r="0" t="0"/>
          <wp:wrapSquare wrapText="bothSides" distB="0" distT="0" distL="114300" distR="114300"/>
          <wp:docPr id="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84468" cy="21526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384800" cy="1854200"/>
          <wp:effectExtent b="0" l="0" r="0" t="0"/>
          <wp:docPr descr="template_header_2" id="20" name="image2.png"/>
          <a:graphic>
            <a:graphicData uri="http://schemas.openxmlformats.org/drawingml/2006/picture">
              <pic:pic>
                <pic:nvPicPr>
                  <pic:cNvPr descr="template_header_2" id="0" name="image2.png"/>
                  <pic:cNvPicPr preferRelativeResize="0"/>
                </pic:nvPicPr>
                <pic:blipFill>
                  <a:blip r:embed="rId1"/>
                  <a:srcRect b="0" l="0" r="0" t="0"/>
                  <a:stretch>
                    <a:fillRect/>
                  </a:stretch>
                </pic:blipFill>
                <pic:spPr>
                  <a:xfrm>
                    <a:off x="0" y="0"/>
                    <a:ext cx="5384800" cy="185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4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4E3437"/>
    <w:pPr>
      <w:spacing w:after="160" w:line="259" w:lineRule="auto"/>
    </w:pPr>
    <w:rPr>
      <w:sz w:val="22"/>
      <w:szCs w:val="22"/>
      <w:lang w:eastAsia="en-US"/>
    </w:rPr>
  </w:style>
  <w:style w:type="paragraph" w:styleId="Nadpis1">
    <w:name w:val="heading 1"/>
    <w:basedOn w:val="Normln"/>
    <w:next w:val="Normln"/>
    <w:link w:val="Nadpis1Char"/>
    <w:uiPriority w:val="99"/>
    <w:qFormat w:val="1"/>
    <w:rsid w:val="000A2293"/>
    <w:pPr>
      <w:keepNext w:val="1"/>
      <w:keepLines w:val="1"/>
      <w:spacing w:after="0" w:before="480"/>
      <w:outlineLvl w:val="0"/>
    </w:pPr>
    <w:rPr>
      <w:rFonts w:ascii="Calibri Light" w:eastAsia="Times New Roman" w:hAnsi="Calibri Light"/>
      <w:b w:val="1"/>
      <w:bCs w:val="1"/>
      <w:color w:val="2e74b5"/>
      <w:sz w:val="28"/>
      <w:szCs w:val="28"/>
    </w:rPr>
  </w:style>
  <w:style w:type="paragraph" w:styleId="Nadpis2">
    <w:name w:val="heading 2"/>
    <w:basedOn w:val="Normln"/>
    <w:next w:val="Normln"/>
    <w:link w:val="Nadpis2Char"/>
    <w:uiPriority w:val="99"/>
    <w:qFormat w:val="1"/>
    <w:rsid w:val="000A2293"/>
    <w:pPr>
      <w:keepNext w:val="1"/>
      <w:keepLines w:val="1"/>
      <w:spacing w:after="0" w:before="200"/>
      <w:outlineLvl w:val="1"/>
    </w:pPr>
    <w:rPr>
      <w:rFonts w:ascii="Calibri Light" w:eastAsia="Times New Roman" w:hAnsi="Calibri Light"/>
      <w:b w:val="1"/>
      <w:bCs w:val="1"/>
      <w:color w:val="5b9bd5"/>
      <w:sz w:val="26"/>
      <w:szCs w:val="26"/>
    </w:rPr>
  </w:style>
  <w:style w:type="paragraph" w:styleId="Nadpis3">
    <w:name w:val="heading 3"/>
    <w:basedOn w:val="Normln"/>
    <w:next w:val="Normln"/>
    <w:link w:val="Nadpis3Char"/>
    <w:uiPriority w:val="99"/>
    <w:qFormat w:val="1"/>
    <w:rsid w:val="00D06AEF"/>
    <w:pPr>
      <w:keepNext w:val="1"/>
      <w:keepLines w:val="1"/>
      <w:spacing w:after="0" w:before="200"/>
      <w:outlineLvl w:val="2"/>
    </w:pPr>
    <w:rPr>
      <w:rFonts w:ascii="Calibri Light" w:eastAsia="Times New Roman" w:hAnsi="Calibri Light"/>
      <w:b w:val="1"/>
      <w:bCs w:val="1"/>
      <w:color w:val="5b9bd5"/>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uiPriority w:val="99"/>
    <w:locked w:val="1"/>
    <w:rsid w:val="000A2293"/>
    <w:rPr>
      <w:rFonts w:ascii="Calibri Light" w:cs="Times New Roman" w:hAnsi="Calibri Light"/>
      <w:b w:val="1"/>
      <w:bCs w:val="1"/>
      <w:color w:val="2e74b5"/>
      <w:sz w:val="28"/>
      <w:szCs w:val="28"/>
    </w:rPr>
  </w:style>
  <w:style w:type="character" w:styleId="Nadpis2Char" w:customStyle="1">
    <w:name w:val="Nadpis 2 Char"/>
    <w:link w:val="Nadpis2"/>
    <w:uiPriority w:val="99"/>
    <w:locked w:val="1"/>
    <w:rsid w:val="000A2293"/>
    <w:rPr>
      <w:rFonts w:ascii="Calibri Light" w:cs="Times New Roman" w:hAnsi="Calibri Light"/>
      <w:b w:val="1"/>
      <w:bCs w:val="1"/>
      <w:color w:val="5b9bd5"/>
      <w:sz w:val="26"/>
      <w:szCs w:val="26"/>
    </w:rPr>
  </w:style>
  <w:style w:type="character" w:styleId="Nadpis3Char" w:customStyle="1">
    <w:name w:val="Nadpis 3 Char"/>
    <w:link w:val="Nadpis3"/>
    <w:uiPriority w:val="99"/>
    <w:locked w:val="1"/>
    <w:rsid w:val="00D06AEF"/>
    <w:rPr>
      <w:rFonts w:ascii="Calibri Light" w:cs="Times New Roman" w:hAnsi="Calibri Light"/>
      <w:b w:val="1"/>
      <w:bCs w:val="1"/>
      <w:color w:val="5b9bd5"/>
    </w:rPr>
  </w:style>
  <w:style w:type="character" w:styleId="Odkaznakoment">
    <w:name w:val="annotation reference"/>
    <w:uiPriority w:val="99"/>
    <w:semiHidden w:val="1"/>
    <w:rsid w:val="002A4933"/>
    <w:rPr>
      <w:rFonts w:cs="Times New Roman"/>
      <w:sz w:val="16"/>
      <w:szCs w:val="16"/>
    </w:rPr>
  </w:style>
  <w:style w:type="paragraph" w:styleId="Textkomente">
    <w:name w:val="annotation text"/>
    <w:basedOn w:val="Normln"/>
    <w:link w:val="TextkomenteChar"/>
    <w:uiPriority w:val="99"/>
    <w:semiHidden w:val="1"/>
    <w:rsid w:val="002A4933"/>
    <w:pPr>
      <w:spacing w:line="240" w:lineRule="auto"/>
    </w:pPr>
    <w:rPr>
      <w:sz w:val="20"/>
      <w:szCs w:val="20"/>
    </w:rPr>
  </w:style>
  <w:style w:type="character" w:styleId="TextkomenteChar" w:customStyle="1">
    <w:name w:val="Text komentáře Char"/>
    <w:link w:val="Textkomente"/>
    <w:uiPriority w:val="99"/>
    <w:semiHidden w:val="1"/>
    <w:locked w:val="1"/>
    <w:rsid w:val="002A4933"/>
    <w:rPr>
      <w:rFonts w:cs="Times New Roman"/>
      <w:sz w:val="20"/>
      <w:szCs w:val="20"/>
    </w:rPr>
  </w:style>
  <w:style w:type="paragraph" w:styleId="Pedmtkomente">
    <w:name w:val="annotation subject"/>
    <w:basedOn w:val="Textkomente"/>
    <w:next w:val="Textkomente"/>
    <w:link w:val="PedmtkomenteChar"/>
    <w:uiPriority w:val="99"/>
    <w:semiHidden w:val="1"/>
    <w:rsid w:val="002A4933"/>
    <w:rPr>
      <w:b w:val="1"/>
      <w:bCs w:val="1"/>
    </w:rPr>
  </w:style>
  <w:style w:type="character" w:styleId="PedmtkomenteChar" w:customStyle="1">
    <w:name w:val="Předmět komentáře Char"/>
    <w:link w:val="Pedmtkomente"/>
    <w:uiPriority w:val="99"/>
    <w:semiHidden w:val="1"/>
    <w:locked w:val="1"/>
    <w:rsid w:val="002A4933"/>
    <w:rPr>
      <w:rFonts w:cs="Times New Roman"/>
      <w:b w:val="1"/>
      <w:bCs w:val="1"/>
      <w:sz w:val="20"/>
      <w:szCs w:val="20"/>
    </w:rPr>
  </w:style>
  <w:style w:type="paragraph" w:styleId="Textbubliny">
    <w:name w:val="Balloon Text"/>
    <w:basedOn w:val="Normln"/>
    <w:link w:val="TextbublinyChar"/>
    <w:uiPriority w:val="99"/>
    <w:semiHidden w:val="1"/>
    <w:rsid w:val="002A4933"/>
    <w:pPr>
      <w:spacing w:after="0" w:line="240" w:lineRule="auto"/>
    </w:pPr>
    <w:rPr>
      <w:rFonts w:ascii="Segoe UI" w:cs="Segoe UI" w:hAnsi="Segoe UI"/>
      <w:sz w:val="18"/>
      <w:szCs w:val="18"/>
    </w:rPr>
  </w:style>
  <w:style w:type="character" w:styleId="TextbublinyChar" w:customStyle="1">
    <w:name w:val="Text bubliny Char"/>
    <w:link w:val="Textbubliny"/>
    <w:uiPriority w:val="99"/>
    <w:semiHidden w:val="1"/>
    <w:locked w:val="1"/>
    <w:rsid w:val="002A4933"/>
    <w:rPr>
      <w:rFonts w:ascii="Segoe UI" w:cs="Segoe UI" w:hAnsi="Segoe UI"/>
      <w:sz w:val="18"/>
      <w:szCs w:val="18"/>
    </w:rPr>
  </w:style>
  <w:style w:type="character" w:styleId="Hyperlink1" w:customStyle="1">
    <w:name w:val="Hyperlink.1"/>
    <w:uiPriority w:val="99"/>
    <w:rsid w:val="00895FBF"/>
    <w:rPr>
      <w:rFonts w:cs="Times New Roman"/>
      <w:color w:val="0000ff"/>
      <w:u w:color="0000ff" w:val="single"/>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styleId="ZhlavChar" w:customStyle="1">
    <w:name w:val="Záhlaví Char"/>
    <w:link w:val="Zhlav"/>
    <w:uiPriority w:val="99"/>
    <w:locked w:val="1"/>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styleId="ZpatChar" w:customStyle="1">
    <w:name w:val="Zápatí Char"/>
    <w:link w:val="Zpat"/>
    <w:uiPriority w:val="99"/>
    <w:locked w:val="1"/>
    <w:rsid w:val="000A2293"/>
    <w:rPr>
      <w:rFonts w:cs="Times New Roman"/>
    </w:rPr>
  </w:style>
  <w:style w:type="paragraph" w:styleId="Normlnweb">
    <w:name w:val="Normal (Web)"/>
    <w:basedOn w:val="Normln"/>
    <w:uiPriority w:val="99"/>
    <w:rsid w:val="000349C6"/>
    <w:pPr>
      <w:spacing w:after="100" w:afterAutospacing="1" w:before="100" w:beforeAutospacing="1" w:line="240" w:lineRule="auto"/>
    </w:pPr>
    <w:rPr>
      <w:rFonts w:ascii="Times New Roman" w:hAnsi="Times New Roman"/>
      <w:sz w:val="24"/>
      <w:szCs w:val="24"/>
      <w:lang w:eastAsia="cs-CZ"/>
    </w:rPr>
  </w:style>
  <w:style w:type="character" w:styleId="Zmnka1" w:customStyle="1">
    <w:name w:val="Zmínka1"/>
    <w:uiPriority w:val="99"/>
    <w:semiHidden w:val="1"/>
    <w:rsid w:val="00E454DB"/>
    <w:rPr>
      <w:rFonts w:cs="Times New Roman"/>
      <w:color w:val="2b579a"/>
      <w:shd w:color="auto" w:fill="e6e6e6" w:val="clear"/>
    </w:rPr>
  </w:style>
  <w:style w:type="character" w:styleId="Nevyeenzmnka1" w:customStyle="1">
    <w:name w:val="Nevyřešená zmínka1"/>
    <w:uiPriority w:val="99"/>
    <w:semiHidden w:val="1"/>
    <w:rsid w:val="004E36F0"/>
    <w:rPr>
      <w:rFonts w:cs="Times New Roman"/>
      <w:color w:val="808080"/>
      <w:shd w:color="auto" w:fill="e6e6e6" w:val="clear"/>
    </w:rPr>
  </w:style>
  <w:style w:type="character" w:styleId="Nevyeenzmnka2" w:customStyle="1">
    <w:name w:val="Nevyřešená zmínka2"/>
    <w:uiPriority w:val="99"/>
    <w:semiHidden w:val="1"/>
    <w:rsid w:val="00DB3083"/>
    <w:rPr>
      <w:rFonts w:cs="Times New Roman"/>
      <w:color w:val="808080"/>
      <w:shd w:color="auto" w:fill="e6e6e6" w:val="clear"/>
    </w:rPr>
  </w:style>
  <w:style w:type="character" w:styleId="Nevyeenzmnka3" w:customStyle="1">
    <w:name w:val="Nevyřešená zmínka3"/>
    <w:basedOn w:val="Standardnpsmoodstavce"/>
    <w:uiPriority w:val="99"/>
    <w:semiHidden w:val="1"/>
    <w:unhideWhenUsed w:val="1"/>
    <w:rsid w:val="00A9166B"/>
    <w:rPr>
      <w:color w:val="808080"/>
      <w:shd w:color="auto" w:fill="e6e6e6" w:val="clear"/>
    </w:rPr>
  </w:style>
  <w:style w:type="character" w:styleId="Zdraznn">
    <w:name w:val="Emphasis"/>
    <w:basedOn w:val="Standardnpsmoodstavce"/>
    <w:uiPriority w:val="20"/>
    <w:qFormat w:val="1"/>
    <w:locked w:val="1"/>
    <w:rsid w:val="00D37EB3"/>
    <w:rPr>
      <w:i w:val="1"/>
      <w:iCs w:val="1"/>
    </w:rPr>
  </w:style>
  <w:style w:type="character" w:styleId="Nevyeenzmnka4" w:customStyle="1">
    <w:name w:val="Nevyřešená zmínka4"/>
    <w:basedOn w:val="Standardnpsmoodstavce"/>
    <w:uiPriority w:val="99"/>
    <w:semiHidden w:val="1"/>
    <w:unhideWhenUsed w:val="1"/>
    <w:rsid w:val="00DE13E3"/>
    <w:rPr>
      <w:color w:val="808080"/>
      <w:shd w:color="auto" w:fill="e6e6e6" w:val="clear"/>
    </w:rPr>
  </w:style>
  <w:style w:type="character" w:styleId="Nevyeenzmnka5" w:customStyle="1">
    <w:name w:val="Nevyřešená zmínka5"/>
    <w:basedOn w:val="Standardnpsmoodstavce"/>
    <w:uiPriority w:val="99"/>
    <w:semiHidden w:val="1"/>
    <w:unhideWhenUsed w:val="1"/>
    <w:rsid w:val="000731A0"/>
    <w:rPr>
      <w:color w:val="605e5c"/>
      <w:shd w:color="auto" w:fill="e1dfdd" w:val="clear"/>
    </w:rPr>
  </w:style>
  <w:style w:type="character" w:styleId="gmaildefault" w:customStyle="1">
    <w:name w:val="gmail_default"/>
    <w:basedOn w:val="Standardnpsmoodstavce"/>
    <w:rsid w:val="00C958DC"/>
  </w:style>
  <w:style w:type="character" w:styleId="apple-converted-space" w:customStyle="1">
    <w:name w:val="apple-converted-space"/>
    <w:basedOn w:val="Standardnpsmoodstavce"/>
    <w:rsid w:val="00AE4B86"/>
  </w:style>
  <w:style w:type="character" w:styleId="il" w:customStyle="1">
    <w:name w:val="il"/>
    <w:basedOn w:val="Standardnpsmoodstavce"/>
    <w:rsid w:val="00AE4B86"/>
  </w:style>
  <w:style w:type="paragraph" w:styleId="Textpoznpodarou">
    <w:name w:val="footnote text"/>
    <w:basedOn w:val="Normln"/>
    <w:link w:val="TextpoznpodarouChar"/>
    <w:uiPriority w:val="99"/>
    <w:semiHidden w:val="1"/>
    <w:unhideWhenUsed w:val="1"/>
    <w:rsid w:val="003A335E"/>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3A335E"/>
    <w:rPr>
      <w:lang w:eastAsia="en-US"/>
    </w:rPr>
  </w:style>
  <w:style w:type="character" w:styleId="Znakapoznpodarou">
    <w:name w:val="footnote reference"/>
    <w:basedOn w:val="Standardnpsmoodstavce"/>
    <w:uiPriority w:val="99"/>
    <w:semiHidden w:val="1"/>
    <w:unhideWhenUsed w:val="1"/>
    <w:rsid w:val="003A335E"/>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press@furchguitars.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www.furchguit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furchguitars.com" TargetMode="External"/><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tk+xTiBXiDIiOlaW4uQPJAcKHA==">AMUW2mXejREtrLuWrR9E5oxXp2qi74KYHPzlAkC0LjqtKFsPezUhjXOOnPQQ4XYswAUGw68GOHeGQn9FfAhW/fQ8zGsLRw9kMDA5z72TOmjNTjL7osj4nzWXDpB76cDHTWO/awgDmdagGUYSpf1FYtqeGrCVKcUsPvgrbzxcpBAXw2+uflAQeEKCK1Z0Cl54cEjuCjDUw7bZ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2020-07-01T10:46:00Z</dcterms:created>
  <dc:creator>Klára Tomanová</dc:creator>
</cp:coreProperties>
</file>