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center" w:pos="4323"/>
          <w:tab w:val="left" w:pos="5580"/>
        </w:tabs>
        <w:spacing w:before="0" w:lineRule="auto"/>
        <w:jc w:val="center"/>
        <w:rPr>
          <w:rFonts w:ascii="Calibri" w:cs="Calibri" w:eastAsia="Calibri" w:hAnsi="Calibri"/>
          <w:color w:val="000000"/>
          <w:sz w:val="36"/>
          <w:szCs w:val="36"/>
        </w:rPr>
      </w:pPr>
      <w:bookmarkStart w:colFirst="0" w:colLast="0" w:name="_heading=h.gjdgxs" w:id="0"/>
      <w:bookmarkEnd w:id="0"/>
      <w:r w:rsidDel="00000000" w:rsidR="00000000" w:rsidRPr="00000000">
        <w:rPr>
          <w:color w:val="808080"/>
          <w:sz w:val="36"/>
          <w:szCs w:val="36"/>
          <w:rtl w:val="0"/>
        </w:rPr>
        <w:t xml:space="preserve">Furch Guitars vytvořil pro své stávající hráče speciální jubilejní edici akustických kytar</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-1181099</wp:posOffset>
                </wp:positionH>
                <wp:positionV relativeFrom="paragraph">
                  <wp:posOffset>266700</wp:posOffset>
                </wp:positionV>
                <wp:extent cx="917575" cy="7064375"/>
                <wp:effectExtent b="0" l="0" r="0" t="0"/>
                <wp:wrapNone/>
                <wp:docPr id="16" name=""/>
                <a:graphic>
                  <a:graphicData uri="http://schemas.microsoft.com/office/word/2010/wordprocessingShape">
                    <wps:wsp>
                      <wps:cNvSpPr/>
                      <wps:cNvPr id="2" name="Shape 2"/>
                      <wps:spPr>
                        <a:xfrm rot="-5400000">
                          <a:off x="1818575" y="3325975"/>
                          <a:ext cx="7054850" cy="90805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dddddd"/>
                                <w:sz w:val="144"/>
                                <w:vertAlign w:val="baseline"/>
                              </w:rPr>
                              <w:t xml:space="preserve">TISKOVÁ ZPRÁVA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-1181099</wp:posOffset>
                </wp:positionH>
                <wp:positionV relativeFrom="paragraph">
                  <wp:posOffset>266700</wp:posOffset>
                </wp:positionV>
                <wp:extent cx="917575" cy="7064375"/>
                <wp:effectExtent b="0" l="0" r="0" t="0"/>
                <wp:wrapNone/>
                <wp:docPr id="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17575" cy="7064375"/>
                        </a:xfrm>
                        <a:prstGeom prst="rect"/>
                        <a:ln/>
                      </pic:spPr>
                    </pic:pic>
                  </a:graphicData>
                </a:graphic>
              </wp:anchor>
            </w:drawing>
          </mc:Fallback>
        </mc:AlternateContent>
      </w:r>
    </w:p>
    <w:p w:rsidR="00000000" w:rsidDel="00000000" w:rsidP="00000000" w:rsidRDefault="00000000" w:rsidRPr="00000000" w14:paraId="00000002">
      <w:pPr>
        <w:spacing w:after="0" w:before="360" w:lineRule="auto"/>
        <w:jc w:val="both"/>
        <w:rPr>
          <w:b w:val="1"/>
          <w:sz w:val="24"/>
          <w:szCs w:val="24"/>
        </w:rPr>
      </w:pPr>
      <w:r w:rsidDel="00000000" w:rsidR="00000000" w:rsidRPr="00000000">
        <w:rPr>
          <w:b w:val="1"/>
          <w:sz w:val="24"/>
          <w:szCs w:val="24"/>
          <w:rtl w:val="0"/>
        </w:rPr>
        <w:t xml:space="preserve">Velké Němčice, 27. září 2021 – Společnost Furch Guitars (</w:t>
      </w:r>
      <w:hyperlink r:id="rId8">
        <w:r w:rsidDel="00000000" w:rsidR="00000000" w:rsidRPr="00000000">
          <w:rPr>
            <w:b w:val="1"/>
            <w:color w:val="808080"/>
            <w:sz w:val="24"/>
            <w:szCs w:val="24"/>
            <w:u w:val="single"/>
            <w:rtl w:val="0"/>
          </w:rPr>
          <w:t xml:space="preserve">Furch</w:t>
        </w:r>
      </w:hyperlink>
      <w:r w:rsidDel="00000000" w:rsidR="00000000" w:rsidRPr="00000000">
        <w:rPr>
          <w:b w:val="1"/>
          <w:sz w:val="24"/>
          <w:szCs w:val="24"/>
          <w:rtl w:val="0"/>
        </w:rPr>
        <w:t xml:space="preserve">), přední světový výrobce kytar prémiové kvality, vytvořila u příležitosti svých čtyřicátých narozenin speciální limitovanou edici akustických nástrojů, jejíž součástí je i statisící vyrobená kytara Furch. Novinky jsou exkluzivně k dostání pouze pro stávající majitele nástrojů této značky.</w:t>
      </w:r>
    </w:p>
    <w:p w:rsidR="00000000" w:rsidDel="00000000" w:rsidP="00000000" w:rsidRDefault="00000000" w:rsidRPr="00000000" w14:paraId="00000003">
      <w:pPr>
        <w:spacing w:after="0" w:before="240" w:line="259.20000000000005" w:lineRule="auto"/>
        <w:jc w:val="both"/>
        <w:rPr>
          <w:sz w:val="24"/>
          <w:szCs w:val="24"/>
        </w:rPr>
      </w:pPr>
      <w:r w:rsidDel="00000000" w:rsidR="00000000" w:rsidRPr="00000000">
        <w:rPr>
          <w:sz w:val="24"/>
          <w:szCs w:val="24"/>
          <w:rtl w:val="0"/>
        </w:rPr>
        <w:t xml:space="preserve">Letos v září je to přesně čtyřicet let, co František Furch dokončil výrobu své první kytary. Přestože se jednalo o jeho prvotní počin, nástroj vzbudil mezi muzikanty vlnu zájmu a</w:t>
      </w:r>
      <w:r w:rsidDel="00000000" w:rsidR="00000000" w:rsidRPr="00000000">
        <w:rPr>
          <w:b w:val="1"/>
          <w:sz w:val="24"/>
          <w:szCs w:val="24"/>
          <w:rtl w:val="0"/>
        </w:rPr>
        <w:t xml:space="preserve"> </w:t>
      </w:r>
      <w:r w:rsidDel="00000000" w:rsidR="00000000" w:rsidRPr="00000000">
        <w:rPr>
          <w:sz w:val="24"/>
          <w:szCs w:val="24"/>
          <w:rtl w:val="0"/>
        </w:rPr>
        <w:t xml:space="preserve">stal se tak základním stavebním kamenem Furch Guitars. V rámci oslav společnost připravila speciální limitovanou edici čtyřiceti prémiových akustických kytar v provedení Grand Auditorium s výřezem, které hráčům nabízí souhrn toho nejlepšího ze světa Furchu.</w:t>
      </w:r>
    </w:p>
    <w:p w:rsidR="00000000" w:rsidDel="00000000" w:rsidP="00000000" w:rsidRDefault="00000000" w:rsidRPr="00000000" w14:paraId="00000004">
      <w:pPr>
        <w:spacing w:after="0" w:before="120" w:line="259.20000000000005" w:lineRule="auto"/>
        <w:jc w:val="both"/>
        <w:rPr>
          <w:rFonts w:ascii="Calibri" w:cs="Calibri" w:eastAsia="Calibri" w:hAnsi="Calibri"/>
          <w:sz w:val="24"/>
          <w:szCs w:val="24"/>
        </w:rPr>
      </w:pPr>
      <w:r w:rsidDel="00000000" w:rsidR="00000000" w:rsidRPr="00000000">
        <w:rPr>
          <w:sz w:val="24"/>
          <w:szCs w:val="24"/>
          <w:rtl w:val="0"/>
        </w:rPr>
        <w:t xml:space="preserve">Součástí jubilejní edice je i kytara s magickým výrobním číslem 100.000, kterou Furch chystá vystavit ve svém showroomu ve Velkých Němčicích. Zbývajících 39 kusů půjde do prodeje, přičemž zakoupit si je budou moci výhradně stávající majitelé kytar Furch. Společnost jim chce touto cestou poděkovat za jejich důvěru</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5">
      <w:pPr>
        <w:spacing w:after="0" w:before="240" w:line="259.20000000000005" w:lineRule="auto"/>
        <w:jc w:val="both"/>
        <w:rPr>
          <w:b w:val="1"/>
          <w:color w:val="000000"/>
          <w:sz w:val="24"/>
          <w:szCs w:val="24"/>
        </w:rPr>
      </w:pPr>
      <w:r w:rsidDel="00000000" w:rsidR="00000000" w:rsidRPr="00000000">
        <w:rPr>
          <w:b w:val="1"/>
          <w:sz w:val="24"/>
          <w:szCs w:val="24"/>
          <w:rtl w:val="0"/>
        </w:rPr>
        <w:t xml:space="preserve">Edition Forty Gc-LX: kytara s nádechem historie</w:t>
      </w:r>
      <w:r w:rsidDel="00000000" w:rsidR="00000000" w:rsidRPr="00000000">
        <w:rPr>
          <w:rtl w:val="0"/>
        </w:rPr>
      </w:r>
    </w:p>
    <w:p w:rsidR="00000000" w:rsidDel="00000000" w:rsidP="00000000" w:rsidRDefault="00000000" w:rsidRPr="00000000" w14:paraId="00000006">
      <w:pPr>
        <w:spacing w:after="0" w:before="120" w:line="259.20000000000005" w:lineRule="auto"/>
        <w:jc w:val="both"/>
        <w:rPr>
          <w:sz w:val="24"/>
          <w:szCs w:val="24"/>
        </w:rPr>
      </w:pPr>
      <w:r w:rsidDel="00000000" w:rsidR="00000000" w:rsidRPr="00000000">
        <w:rPr>
          <w:sz w:val="24"/>
          <w:szCs w:val="24"/>
          <w:rtl w:val="0"/>
        </w:rPr>
        <w:t xml:space="preserve">Kytara Edition Forty Gc-LX je vyrobena s přední rezonanční deskou z alpského smrku. Zadní deska a luby pocházejí ze starého jasanu rostoucího na nádvoří původní továrny Furch, který musel být před pár lety kvůli rekonstrukci areálu pokácen. </w:t>
      </w:r>
      <w:r w:rsidDel="00000000" w:rsidR="00000000" w:rsidRPr="00000000">
        <w:rPr>
          <w:sz w:val="24"/>
          <w:szCs w:val="24"/>
          <w:rtl w:val="0"/>
        </w:rPr>
        <w:t xml:space="preserve">Z něj pak byl vybrán ten nejlepší materiál na kytarové sady, které byly po letech přirozeného sušení použity na výrobu tohoto výročního modelu.</w:t>
      </w:r>
    </w:p>
    <w:p w:rsidR="00000000" w:rsidDel="00000000" w:rsidP="00000000" w:rsidRDefault="00000000" w:rsidRPr="00000000" w14:paraId="00000007">
      <w:pPr>
        <w:spacing w:after="0" w:before="120" w:line="259.20000000000005" w:lineRule="auto"/>
        <w:jc w:val="both"/>
        <w:rPr>
          <w:sz w:val="24"/>
          <w:szCs w:val="24"/>
        </w:rPr>
      </w:pPr>
      <w:r w:rsidDel="00000000" w:rsidR="00000000" w:rsidRPr="00000000">
        <w:rPr>
          <w:sz w:val="24"/>
          <w:szCs w:val="24"/>
          <w:rtl w:val="0"/>
        </w:rPr>
        <w:t xml:space="preserve">Obě dřeviny jsou charakteristické svým jasným brilantním zvukem, který dále vyzdvihuje speciální proces ladění. V jeho rámci dochází k měření fyzikálních vlastností jednotlivých částí desek a k následné úpravě jejich tloušťky do požadovaných hodnot. Velmi pozitivní vliv na celkovou akustiku nástroje má i vysoce lesklá UV povrchová úprava doplněná o zlatavý sunburst.</w:t>
      </w:r>
    </w:p>
    <w:p w:rsidR="00000000" w:rsidDel="00000000" w:rsidP="00000000" w:rsidRDefault="00000000" w:rsidRPr="00000000" w14:paraId="00000008">
      <w:pPr>
        <w:spacing w:after="0" w:before="120" w:line="259.20000000000005" w:lineRule="auto"/>
        <w:jc w:val="both"/>
        <w:rPr>
          <w:sz w:val="24"/>
          <w:szCs w:val="24"/>
        </w:rPr>
      </w:pPr>
      <w:r w:rsidDel="00000000" w:rsidR="00000000" w:rsidRPr="00000000">
        <w:rPr>
          <w:sz w:val="24"/>
          <w:szCs w:val="24"/>
          <w:rtl w:val="0"/>
        </w:rPr>
        <w:t xml:space="preserve">Součástí přední a zadní desky kytary je oblíbený ergonomický prvek Bevel Duo z indického palisandru, který hráčům poskytuje maximální pohodlí během hry a zároveň podtrhuje výjimečný vzhled nástroje. Jednotlivé bevely zdobí jubilejní perleťový nápis Forty a označení pořadí kytary v edici.</w:t>
      </w:r>
    </w:p>
    <w:p w:rsidR="00000000" w:rsidDel="00000000" w:rsidP="00000000" w:rsidRDefault="00000000" w:rsidRPr="00000000" w14:paraId="00000009">
      <w:pPr>
        <w:spacing w:after="0" w:before="120" w:line="259.20000000000005" w:lineRule="auto"/>
        <w:jc w:val="both"/>
        <w:rPr>
          <w:sz w:val="24"/>
          <w:szCs w:val="24"/>
        </w:rPr>
      </w:pPr>
      <w:r w:rsidDel="00000000" w:rsidR="00000000" w:rsidRPr="00000000">
        <w:rPr>
          <w:sz w:val="24"/>
          <w:szCs w:val="24"/>
          <w:rtl w:val="0"/>
        </w:rPr>
        <w:t xml:space="preserve">Netradičními designovými prvky kytary Edition Forty Gc-LX jsou vedle bevelů rovněž hmatník a plátek na hlavě </w:t>
      </w:r>
      <w:r w:rsidDel="00000000" w:rsidR="00000000" w:rsidRPr="00000000">
        <w:rPr>
          <w:sz w:val="24"/>
          <w:szCs w:val="24"/>
          <w:rtl w:val="0"/>
        </w:rPr>
        <w:t xml:space="preserve">z výrazně oranžového cocobola a černého ebenu. Jejich vzájemné střídání zaujme již na první pohled svým unikátním kontrastem.</w:t>
      </w:r>
      <w:r w:rsidDel="00000000" w:rsidR="00000000" w:rsidRPr="00000000">
        <w:rPr>
          <w:sz w:val="24"/>
          <w:szCs w:val="24"/>
          <w:rtl w:val="0"/>
        </w:rPr>
        <w:t xml:space="preserve"> Stejné dřeviny Furch použil i na dvoudílnou kobylku. Celkovou atraktivitu nástroje dále zdůrazňuje prémiová rozeta a lemování těla, hlavy a hmatníku z indického palisandru. Hmatník kytary je navíc doplněn o exkluzivní boční lineární poziční značky z bílé perleti.</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-1190624</wp:posOffset>
                </wp:positionH>
                <wp:positionV relativeFrom="paragraph">
                  <wp:posOffset>190500</wp:posOffset>
                </wp:positionV>
                <wp:extent cx="917575" cy="7064375"/>
                <wp:effectExtent b="0" l="0" r="0" t="0"/>
                <wp:wrapNone/>
                <wp:docPr id="17" name=""/>
                <a:graphic>
                  <a:graphicData uri="http://schemas.microsoft.com/office/word/2010/wordprocessingShape">
                    <wps:wsp>
                      <wps:cNvSpPr/>
                      <wps:cNvPr id="2" name="Shape 2"/>
                      <wps:spPr>
                        <a:xfrm rot="-5400000">
                          <a:off x="1818575" y="3325975"/>
                          <a:ext cx="7054850" cy="90805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dddddd"/>
                                <w:sz w:val="144"/>
                                <w:vertAlign w:val="baseline"/>
                              </w:rPr>
                              <w:t xml:space="preserve">TISKOVÁ ZPRÁVA</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-1190624</wp:posOffset>
                </wp:positionH>
                <wp:positionV relativeFrom="paragraph">
                  <wp:posOffset>190500</wp:posOffset>
                </wp:positionV>
                <wp:extent cx="917575" cy="7064375"/>
                <wp:effectExtent b="0" l="0" r="0" t="0"/>
                <wp:wrapNone/>
                <wp:docPr id="1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917575" cy="7064375"/>
                        </a:xfrm>
                        <a:prstGeom prst="rect"/>
                        <a:ln/>
                      </pic:spPr>
                    </pic:pic>
                  </a:graphicData>
                </a:graphic>
              </wp:anchor>
            </w:drawing>
          </mc:Fallback>
        </mc:AlternateContent>
      </w:r>
    </w:p>
    <w:p w:rsidR="00000000" w:rsidDel="00000000" w:rsidP="00000000" w:rsidRDefault="00000000" w:rsidRPr="00000000" w14:paraId="0000000A">
      <w:pPr>
        <w:spacing w:after="0" w:before="120" w:line="259.20000000000005" w:lineRule="auto"/>
        <w:jc w:val="both"/>
        <w:rPr>
          <w:sz w:val="24"/>
          <w:szCs w:val="24"/>
        </w:rPr>
      </w:pPr>
      <w:r w:rsidDel="00000000" w:rsidR="00000000" w:rsidRPr="00000000">
        <w:rPr>
          <w:sz w:val="24"/>
          <w:szCs w:val="24"/>
          <w:rtl w:val="0"/>
        </w:rPr>
        <w:t xml:space="preserve">Precizní ladění nástroje zajišťuje mechanika Gotoh 510 ve stříbrné patině s ebenovými olivami a vysoce jemným převodem 1:21. Součástí výbavy kytary je i prémiový kufr Hiscox.</w:t>
      </w:r>
    </w:p>
    <w:p w:rsidR="00000000" w:rsidDel="00000000" w:rsidP="00000000" w:rsidRDefault="00000000" w:rsidRPr="00000000" w14:paraId="0000000B">
      <w:pPr>
        <w:spacing w:after="0" w:before="240" w:line="259.20000000000005" w:lineRule="auto"/>
        <w:jc w:val="both"/>
        <w:rPr>
          <w:b w:val="1"/>
          <w:sz w:val="24"/>
          <w:szCs w:val="24"/>
        </w:rPr>
      </w:pPr>
      <w:r w:rsidDel="00000000" w:rsidR="00000000" w:rsidRPr="00000000">
        <w:rPr>
          <w:b w:val="1"/>
          <w:sz w:val="24"/>
          <w:szCs w:val="24"/>
          <w:rtl w:val="0"/>
        </w:rPr>
        <w:t xml:space="preserve">Určeno výhradně pro skalní fanoušky</w:t>
      </w:r>
    </w:p>
    <w:p w:rsidR="00000000" w:rsidDel="00000000" w:rsidP="00000000" w:rsidRDefault="00000000" w:rsidRPr="00000000" w14:paraId="0000000C">
      <w:pPr>
        <w:spacing w:after="0" w:before="120" w:line="240" w:lineRule="auto"/>
        <w:jc w:val="both"/>
        <w:rPr>
          <w:sz w:val="24"/>
          <w:szCs w:val="24"/>
        </w:rPr>
      </w:pPr>
      <w:r w:rsidDel="00000000" w:rsidR="00000000" w:rsidRPr="00000000">
        <w:rPr>
          <w:sz w:val="24"/>
          <w:szCs w:val="24"/>
          <w:rtl w:val="0"/>
        </w:rPr>
        <w:t xml:space="preserve">Nový model Edition Forty Gc-LX je k dostání u všech autorizovaných prodejců značky Furch. Zakoupit si ho však mohou pouze současní majitelé nástrojů Furch, kteří společně s prodejcem vyplní žádanku o kytaru z limitované edice. O jejím schválení ve finále rozhodne Furch Guitars.</w:t>
      </w:r>
    </w:p>
    <w:p w:rsidR="00000000" w:rsidDel="00000000" w:rsidP="00000000" w:rsidRDefault="00000000" w:rsidRPr="00000000" w14:paraId="0000000D">
      <w:pPr>
        <w:spacing w:after="0" w:before="120" w:line="240" w:lineRule="auto"/>
        <w:jc w:val="both"/>
        <w:rPr>
          <w:sz w:val="24"/>
          <w:szCs w:val="24"/>
        </w:rPr>
      </w:pPr>
      <w:r w:rsidDel="00000000" w:rsidR="00000000" w:rsidRPr="00000000">
        <w:rPr>
          <w:i w:val="1"/>
          <w:sz w:val="24"/>
          <w:szCs w:val="24"/>
          <w:highlight w:val="white"/>
          <w:rtl w:val="0"/>
        </w:rPr>
        <w:t xml:space="preserve">"Letošní limitovaný model je pro nás opravdu výjimečný,</w:t>
      </w:r>
      <w:r w:rsidDel="00000000" w:rsidR="00000000" w:rsidRPr="00000000">
        <w:rPr>
          <w:i w:val="1"/>
          <w:sz w:val="24"/>
          <w:szCs w:val="24"/>
          <w:rtl w:val="0"/>
        </w:rPr>
        <w:t xml:space="preserve"> </w:t>
      </w:r>
      <w:r w:rsidDel="00000000" w:rsidR="00000000" w:rsidRPr="00000000">
        <w:rPr>
          <w:i w:val="1"/>
          <w:sz w:val="24"/>
          <w:szCs w:val="24"/>
          <w:rtl w:val="0"/>
        </w:rPr>
        <w:t xml:space="preserve">ať už kvůli významným datům, která spojuje, tak i kvůli materiálů, ze kterého je vyroben. </w:t>
      </w:r>
      <w:r w:rsidDel="00000000" w:rsidR="00000000" w:rsidRPr="00000000">
        <w:rPr>
          <w:i w:val="1"/>
          <w:sz w:val="24"/>
          <w:szCs w:val="24"/>
          <w:highlight w:val="white"/>
          <w:rtl w:val="0"/>
        </w:rPr>
        <w:t xml:space="preserve">Z tohoto důvodu usilujeme o to, aby se každá z těchto 39 kytar dostala do rukou našich skutečných fanoušků,” </w:t>
      </w:r>
      <w:r w:rsidDel="00000000" w:rsidR="00000000" w:rsidRPr="00000000">
        <w:rPr>
          <w:sz w:val="24"/>
          <w:szCs w:val="24"/>
          <w:highlight w:val="white"/>
          <w:rtl w:val="0"/>
        </w:rPr>
        <w:t xml:space="preserve">uvádí Petr Furch, CEO Furch Guitars.</w:t>
      </w:r>
      <w:r w:rsidDel="00000000" w:rsidR="00000000" w:rsidRPr="00000000">
        <w:rPr>
          <w:rtl w:val="0"/>
        </w:rPr>
      </w:r>
    </w:p>
    <w:p w:rsidR="00000000" w:rsidDel="00000000" w:rsidP="00000000" w:rsidRDefault="00000000" w:rsidRPr="00000000" w14:paraId="0000000E">
      <w:pPr>
        <w:spacing w:after="0" w:before="360" w:line="259.20000000000005" w:lineRule="auto"/>
        <w:jc w:val="both"/>
        <w:rPr>
          <w:color w:val="222222"/>
          <w:sz w:val="24"/>
          <w:szCs w:val="24"/>
        </w:rPr>
      </w:pPr>
      <w:r w:rsidDel="00000000" w:rsidR="00000000" w:rsidRPr="00000000">
        <w:rPr>
          <w:b w:val="1"/>
          <w:sz w:val="20"/>
          <w:szCs w:val="20"/>
          <w:rtl w:val="0"/>
        </w:rPr>
        <w:t xml:space="preserve">O společnosti Furch Guitars</w:t>
      </w:r>
      <w:r w:rsidDel="00000000" w:rsidR="00000000" w:rsidRPr="00000000">
        <w:rPr>
          <w:rtl w:val="0"/>
        </w:rPr>
      </w:r>
    </w:p>
    <w:p w:rsidR="00000000" w:rsidDel="00000000" w:rsidP="00000000" w:rsidRDefault="00000000" w:rsidRPr="00000000" w14:paraId="0000000F">
      <w:pPr>
        <w:spacing w:after="0" w:before="120" w:line="240" w:lineRule="auto"/>
        <w:jc w:val="both"/>
        <w:rPr>
          <w:sz w:val="20"/>
          <w:szCs w:val="20"/>
        </w:rPr>
      </w:pPr>
      <w:r w:rsidDel="00000000" w:rsidR="00000000" w:rsidRPr="00000000">
        <w:rPr>
          <w:sz w:val="20"/>
          <w:szCs w:val="20"/>
          <w:rtl w:val="0"/>
        </w:rPr>
        <w:t xml:space="preserve">Společnost Furch Guitars (Furch) byla založena v roce 1981 a postupně se vypracovala mezi nejvýznamnější světové výrobce celomasivních akustických kytar a bas. Výrobní areál i sídlo společnosti se</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nachází ve Velkých Němčicích v blízkosti Brna. Furch úspěšně spojuje dlouholeté know-how z oblasti ruční výroby kytar s nejmodernějšími výrobními procesy, technologiemi a vlastními inovacemi, díky čemuž dodává na trh prémiové nástroje s vynikajícími akustickými i materiálovými parametry. Furch dodává své nástroje s tříletou zárukou do 32 zemí na pěti světových kontinentech, zaměstnává přes 60 špičkových nástrojářů a ročně produkuje více než 8 000 kytar, které využívá např. Al di Meola, Suzanne Vega, Per Gessle, David Koller, Vlasta Redl, Mirai Navrátil či Marek Ztracený. Další informace lze najít na webu </w:t>
      </w:r>
      <w:hyperlink r:id="rId10">
        <w:r w:rsidDel="00000000" w:rsidR="00000000" w:rsidRPr="00000000">
          <w:rPr>
            <w:color w:val="808080"/>
            <w:sz w:val="20"/>
            <w:szCs w:val="20"/>
            <w:u w:val="single"/>
            <w:rtl w:val="0"/>
          </w:rPr>
          <w:t xml:space="preserve">www.furchguitars.com</w:t>
        </w:r>
      </w:hyperlink>
      <w:r w:rsidDel="00000000" w:rsidR="00000000" w:rsidRPr="00000000">
        <w:rPr>
          <w:sz w:val="20"/>
          <w:szCs w:val="20"/>
          <w:rtl w:val="0"/>
        </w:rPr>
        <w:t xml:space="preserve">.</w:t>
      </w:r>
    </w:p>
    <w:p w:rsidR="00000000" w:rsidDel="00000000" w:rsidP="00000000" w:rsidRDefault="00000000" w:rsidRPr="00000000" w14:paraId="00000010">
      <w:pPr>
        <w:spacing w:after="240" w:before="240" w:line="240" w:lineRule="auto"/>
        <w:jc w:val="center"/>
        <w:rPr>
          <w:sz w:val="20"/>
          <w:szCs w:val="20"/>
        </w:rPr>
      </w:pPr>
      <w:r w:rsidDel="00000000" w:rsidR="00000000" w:rsidRPr="00000000">
        <w:rPr>
          <w:sz w:val="20"/>
          <w:szCs w:val="20"/>
          <w:rtl w:val="0"/>
        </w:rPr>
        <w:t xml:space="preserve">• • •</w:t>
      </w:r>
    </w:p>
    <w:p w:rsidR="00000000" w:rsidDel="00000000" w:rsidP="00000000" w:rsidRDefault="00000000" w:rsidRPr="00000000" w14:paraId="00000011">
      <w:pPr>
        <w:spacing w:after="240" w:before="24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Kontakt pro média: </w:t>
      </w:r>
      <w:r w:rsidDel="00000000" w:rsidR="00000000" w:rsidRPr="00000000">
        <w:rPr>
          <w:rFonts w:ascii="Calibri" w:cs="Calibri" w:eastAsia="Calibri" w:hAnsi="Calibri"/>
          <w:sz w:val="20"/>
          <w:szCs w:val="20"/>
          <w:rtl w:val="0"/>
        </w:rPr>
        <w:t xml:space="preserve">Klára Ariño, </w:t>
      </w:r>
      <w:hyperlink r:id="rId11">
        <w:r w:rsidDel="00000000" w:rsidR="00000000" w:rsidRPr="00000000">
          <w:rPr>
            <w:rFonts w:ascii="Calibri" w:cs="Calibri" w:eastAsia="Calibri" w:hAnsi="Calibri"/>
            <w:color w:val="000000"/>
            <w:sz w:val="20"/>
            <w:szCs w:val="20"/>
            <w:u w:val="none"/>
            <w:rtl w:val="0"/>
          </w:rPr>
          <w:t xml:space="preserve">press@furchguitars.com</w:t>
        </w:r>
      </w:hyperlink>
      <w:r w:rsidDel="00000000" w:rsidR="00000000" w:rsidRPr="00000000">
        <w:rPr>
          <w:rFonts w:ascii="Calibri" w:cs="Calibri" w:eastAsia="Calibri" w:hAnsi="Calibri"/>
          <w:color w:val="000000"/>
          <w:sz w:val="20"/>
          <w:szCs w:val="20"/>
          <w:u w:val="none"/>
          <w:rtl w:val="0"/>
        </w:rPr>
        <w:t xml:space="preserve">, </w:t>
      </w:r>
      <w:r w:rsidDel="00000000" w:rsidR="00000000" w:rsidRPr="00000000">
        <w:rPr>
          <w:rFonts w:ascii="Calibri" w:cs="Calibri" w:eastAsia="Calibri" w:hAnsi="Calibri"/>
          <w:sz w:val="20"/>
          <w:szCs w:val="20"/>
          <w:rtl w:val="0"/>
        </w:rPr>
        <w:t xml:space="preserve">725 861 034</w:t>
      </w:r>
    </w:p>
    <w:sectPr>
      <w:headerReference r:id="rId12" w:type="default"/>
      <w:headerReference r:id="rId13" w:type="even"/>
      <w:footerReference r:id="rId14" w:type="default"/>
      <w:pgSz w:h="16838" w:w="11906" w:orient="portrait"/>
      <w:pgMar w:bottom="1329" w:top="3629" w:left="2268" w:right="992" w:header="708.6614173228347"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Furch Guitars • Městečko 27, 691 63 Velké Němčice • tel.: +420 519 417 285 • e-mail: </w:t>
    </w:r>
    <w:hyperlink r:id="rId1">
      <w:r w:rsidDel="00000000" w:rsidR="00000000" w:rsidRPr="00000000">
        <w:rPr>
          <w:rFonts w:ascii="Calibri" w:cs="Calibri" w:eastAsia="Calibri" w:hAnsi="Calibri"/>
          <w:b w:val="0"/>
          <w:i w:val="0"/>
          <w:smallCaps w:val="0"/>
          <w:strike w:val="0"/>
          <w:color w:val="808080"/>
          <w:sz w:val="16"/>
          <w:szCs w:val="16"/>
          <w:u w:val="single"/>
          <w:shd w:fill="auto" w:val="clear"/>
          <w:vertAlign w:val="baseline"/>
          <w:rtl w:val="0"/>
        </w:rPr>
        <w:t xml:space="preserve">info@furchguitars.com</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color w:val="808080"/>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2159000</wp:posOffset>
          </wp:positionH>
          <wp:positionV relativeFrom="paragraph">
            <wp:posOffset>114300</wp:posOffset>
          </wp:positionV>
          <wp:extent cx="381000" cy="381000"/>
          <wp:effectExtent b="0" l="0" r="0" t="0"/>
          <wp:wrapNone/>
          <wp:docPr id="18"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381000" cy="381000"/>
                  </a:xfrm>
                  <a:prstGeom prst="rect"/>
                  <a:ln/>
                </pic:spPr>
              </pic:pic>
            </a:graphicData>
          </a:graphic>
        </wp:anchor>
      </w:drawing>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color w:val="808080"/>
        <w:sz w:val="16"/>
        <w:szCs w:val="16"/>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-1269</wp:posOffset>
          </wp:positionH>
          <wp:positionV relativeFrom="page">
            <wp:posOffset>3499</wp:posOffset>
          </wp:positionV>
          <wp:extent cx="7584468" cy="2152650"/>
          <wp:effectExtent b="0" l="0" r="0" t="0"/>
          <wp:wrapSquare wrapText="bothSides" distB="0" distT="0" distL="114300" distR="114300"/>
          <wp:docPr id="19"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584468" cy="215265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384800" cy="1854200"/>
          <wp:effectExtent b="0" l="0" r="0" t="0"/>
          <wp:docPr descr="šablona_hlavička_2" id="20" name="image5.png"/>
          <a:graphic>
            <a:graphicData uri="http://schemas.openxmlformats.org/drawingml/2006/picture">
              <pic:pic>
                <pic:nvPicPr>
                  <pic:cNvPr descr="šablona_hlavička_2" id="0" name="image5.png"/>
                  <pic:cNvPicPr preferRelativeResize="0"/>
                </pic:nvPicPr>
                <pic:blipFill>
                  <a:blip r:embed="rId1"/>
                  <a:srcRect b="0" l="0" r="0" t="0"/>
                  <a:stretch>
                    <a:fillRect/>
                  </a:stretch>
                </pic:blipFill>
                <pic:spPr>
                  <a:xfrm>
                    <a:off x="0" y="0"/>
                    <a:ext cx="5384800" cy="1854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4b5"/>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4E3437"/>
    <w:pPr>
      <w:spacing w:after="160" w:line="259" w:lineRule="auto"/>
    </w:pPr>
    <w:rPr>
      <w:sz w:val="22"/>
      <w:szCs w:val="22"/>
      <w:lang w:eastAsia="en-US"/>
    </w:rPr>
  </w:style>
  <w:style w:type="paragraph" w:styleId="Nadpis1">
    <w:name w:val="heading 1"/>
    <w:basedOn w:val="Normln"/>
    <w:next w:val="Normln"/>
    <w:link w:val="Nadpis1Char"/>
    <w:uiPriority w:val="99"/>
    <w:qFormat w:val="1"/>
    <w:rsid w:val="000A2293"/>
    <w:pPr>
      <w:keepNext w:val="1"/>
      <w:keepLines w:val="1"/>
      <w:spacing w:after="0" w:before="480"/>
      <w:outlineLvl w:val="0"/>
    </w:pPr>
    <w:rPr>
      <w:rFonts w:ascii="Calibri Light" w:eastAsia="Times New Roman" w:hAnsi="Calibri Light"/>
      <w:b w:val="1"/>
      <w:bCs w:val="1"/>
      <w:color w:val="2e74b5"/>
      <w:sz w:val="28"/>
      <w:szCs w:val="28"/>
    </w:rPr>
  </w:style>
  <w:style w:type="paragraph" w:styleId="Nadpis2">
    <w:name w:val="heading 2"/>
    <w:basedOn w:val="Normln"/>
    <w:next w:val="Normln"/>
    <w:link w:val="Nadpis2Char"/>
    <w:uiPriority w:val="99"/>
    <w:qFormat w:val="1"/>
    <w:rsid w:val="000A2293"/>
    <w:pPr>
      <w:keepNext w:val="1"/>
      <w:keepLines w:val="1"/>
      <w:spacing w:after="0" w:before="200"/>
      <w:outlineLvl w:val="1"/>
    </w:pPr>
    <w:rPr>
      <w:rFonts w:ascii="Calibri Light" w:eastAsia="Times New Roman" w:hAnsi="Calibri Light"/>
      <w:b w:val="1"/>
      <w:bCs w:val="1"/>
      <w:color w:val="5b9bd5"/>
      <w:sz w:val="26"/>
      <w:szCs w:val="26"/>
    </w:rPr>
  </w:style>
  <w:style w:type="paragraph" w:styleId="Nadpis3">
    <w:name w:val="heading 3"/>
    <w:basedOn w:val="Normln"/>
    <w:next w:val="Normln"/>
    <w:link w:val="Nadpis3Char"/>
    <w:uiPriority w:val="99"/>
    <w:qFormat w:val="1"/>
    <w:rsid w:val="00D06AEF"/>
    <w:pPr>
      <w:keepNext w:val="1"/>
      <w:keepLines w:val="1"/>
      <w:spacing w:after="0" w:before="200"/>
      <w:outlineLvl w:val="2"/>
    </w:pPr>
    <w:rPr>
      <w:rFonts w:ascii="Calibri Light" w:eastAsia="Times New Roman" w:hAnsi="Calibri Light"/>
      <w:b w:val="1"/>
      <w:bCs w:val="1"/>
      <w:color w:val="5b9bd5"/>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link w:val="Nadpis1"/>
    <w:uiPriority w:val="99"/>
    <w:locked w:val="1"/>
    <w:rsid w:val="000A2293"/>
    <w:rPr>
      <w:rFonts w:ascii="Calibri Light" w:cs="Times New Roman" w:hAnsi="Calibri Light"/>
      <w:b w:val="1"/>
      <w:bCs w:val="1"/>
      <w:color w:val="2e74b5"/>
      <w:sz w:val="28"/>
      <w:szCs w:val="28"/>
    </w:rPr>
  </w:style>
  <w:style w:type="character" w:styleId="Nadpis2Char" w:customStyle="1">
    <w:name w:val="Nadpis 2 Char"/>
    <w:link w:val="Nadpis2"/>
    <w:uiPriority w:val="99"/>
    <w:locked w:val="1"/>
    <w:rsid w:val="000A2293"/>
    <w:rPr>
      <w:rFonts w:ascii="Calibri Light" w:cs="Times New Roman" w:hAnsi="Calibri Light"/>
      <w:b w:val="1"/>
      <w:bCs w:val="1"/>
      <w:color w:val="5b9bd5"/>
      <w:sz w:val="26"/>
      <w:szCs w:val="26"/>
    </w:rPr>
  </w:style>
  <w:style w:type="character" w:styleId="Nadpis3Char" w:customStyle="1">
    <w:name w:val="Nadpis 3 Char"/>
    <w:link w:val="Nadpis3"/>
    <w:uiPriority w:val="99"/>
    <w:locked w:val="1"/>
    <w:rsid w:val="00D06AEF"/>
    <w:rPr>
      <w:rFonts w:ascii="Calibri Light" w:cs="Times New Roman" w:hAnsi="Calibri Light"/>
      <w:b w:val="1"/>
      <w:bCs w:val="1"/>
      <w:color w:val="5b9bd5"/>
    </w:rPr>
  </w:style>
  <w:style w:type="character" w:styleId="Odkaznakoment">
    <w:name w:val="annotation reference"/>
    <w:uiPriority w:val="99"/>
    <w:semiHidden w:val="1"/>
    <w:rsid w:val="002A4933"/>
    <w:rPr>
      <w:rFonts w:cs="Times New Roman"/>
      <w:sz w:val="16"/>
      <w:szCs w:val="16"/>
    </w:rPr>
  </w:style>
  <w:style w:type="paragraph" w:styleId="Textkomente">
    <w:name w:val="annotation text"/>
    <w:basedOn w:val="Normln"/>
    <w:link w:val="TextkomenteChar"/>
    <w:uiPriority w:val="99"/>
    <w:semiHidden w:val="1"/>
    <w:rsid w:val="002A4933"/>
    <w:pPr>
      <w:spacing w:line="240" w:lineRule="auto"/>
    </w:pPr>
    <w:rPr>
      <w:sz w:val="20"/>
      <w:szCs w:val="20"/>
    </w:rPr>
  </w:style>
  <w:style w:type="character" w:styleId="TextkomenteChar" w:customStyle="1">
    <w:name w:val="Text komentáře Char"/>
    <w:link w:val="Textkomente"/>
    <w:uiPriority w:val="99"/>
    <w:semiHidden w:val="1"/>
    <w:locked w:val="1"/>
    <w:rsid w:val="002A4933"/>
    <w:rPr>
      <w:rFonts w:cs="Times New Roman"/>
      <w:sz w:val="20"/>
      <w:szCs w:val="20"/>
    </w:rPr>
  </w:style>
  <w:style w:type="paragraph" w:styleId="Pedmtkomente">
    <w:name w:val="annotation subject"/>
    <w:basedOn w:val="Textkomente"/>
    <w:next w:val="Textkomente"/>
    <w:link w:val="PedmtkomenteChar"/>
    <w:uiPriority w:val="99"/>
    <w:semiHidden w:val="1"/>
    <w:rsid w:val="002A4933"/>
    <w:rPr>
      <w:b w:val="1"/>
      <w:bCs w:val="1"/>
    </w:rPr>
  </w:style>
  <w:style w:type="character" w:styleId="PedmtkomenteChar" w:customStyle="1">
    <w:name w:val="Předmět komentáře Char"/>
    <w:link w:val="Pedmtkomente"/>
    <w:uiPriority w:val="99"/>
    <w:semiHidden w:val="1"/>
    <w:locked w:val="1"/>
    <w:rsid w:val="002A4933"/>
    <w:rPr>
      <w:rFonts w:cs="Times New Roman"/>
      <w:b w:val="1"/>
      <w:bCs w:val="1"/>
      <w:sz w:val="20"/>
      <w:szCs w:val="20"/>
    </w:rPr>
  </w:style>
  <w:style w:type="paragraph" w:styleId="Textbubliny">
    <w:name w:val="Balloon Text"/>
    <w:basedOn w:val="Normln"/>
    <w:link w:val="TextbublinyChar"/>
    <w:uiPriority w:val="99"/>
    <w:semiHidden w:val="1"/>
    <w:rsid w:val="002A4933"/>
    <w:pPr>
      <w:spacing w:after="0" w:line="240" w:lineRule="auto"/>
    </w:pPr>
    <w:rPr>
      <w:rFonts w:ascii="Segoe UI" w:cs="Segoe UI" w:hAnsi="Segoe UI"/>
      <w:sz w:val="18"/>
      <w:szCs w:val="18"/>
    </w:rPr>
  </w:style>
  <w:style w:type="character" w:styleId="TextbublinyChar" w:customStyle="1">
    <w:name w:val="Text bubliny Char"/>
    <w:link w:val="Textbubliny"/>
    <w:uiPriority w:val="99"/>
    <w:semiHidden w:val="1"/>
    <w:locked w:val="1"/>
    <w:rsid w:val="002A4933"/>
    <w:rPr>
      <w:rFonts w:ascii="Segoe UI" w:cs="Segoe UI" w:hAnsi="Segoe UI"/>
      <w:sz w:val="18"/>
      <w:szCs w:val="18"/>
    </w:rPr>
  </w:style>
  <w:style w:type="character" w:styleId="Hyperlink1" w:customStyle="1">
    <w:name w:val="Hyperlink.1"/>
    <w:uiPriority w:val="99"/>
    <w:rsid w:val="00895FBF"/>
    <w:rPr>
      <w:rFonts w:cs="Times New Roman"/>
      <w:color w:val="0000ff"/>
      <w:u w:color="0000ff" w:val="single"/>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styleId="ZhlavChar" w:customStyle="1">
    <w:name w:val="Záhlaví Char"/>
    <w:link w:val="Zhlav"/>
    <w:uiPriority w:val="99"/>
    <w:locked w:val="1"/>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styleId="ZpatChar" w:customStyle="1">
    <w:name w:val="Zápatí Char"/>
    <w:link w:val="Zpat"/>
    <w:uiPriority w:val="99"/>
    <w:locked w:val="1"/>
    <w:rsid w:val="000A2293"/>
    <w:rPr>
      <w:rFonts w:cs="Times New Roman"/>
    </w:rPr>
  </w:style>
  <w:style w:type="paragraph" w:styleId="Normlnweb">
    <w:name w:val="Normal (Web)"/>
    <w:basedOn w:val="Normln"/>
    <w:uiPriority w:val="99"/>
    <w:rsid w:val="000349C6"/>
    <w:pPr>
      <w:spacing w:after="100" w:afterAutospacing="1" w:before="100" w:beforeAutospacing="1" w:line="240" w:lineRule="auto"/>
    </w:pPr>
    <w:rPr>
      <w:rFonts w:ascii="Times New Roman" w:hAnsi="Times New Roman"/>
      <w:sz w:val="24"/>
      <w:szCs w:val="24"/>
      <w:lang w:eastAsia="cs-CZ"/>
    </w:rPr>
  </w:style>
  <w:style w:type="character" w:styleId="Zmnka1" w:customStyle="1">
    <w:name w:val="Zmínka1"/>
    <w:uiPriority w:val="99"/>
    <w:semiHidden w:val="1"/>
    <w:rsid w:val="00E454DB"/>
    <w:rPr>
      <w:rFonts w:cs="Times New Roman"/>
      <w:color w:val="2b579a"/>
      <w:shd w:color="auto" w:fill="e6e6e6" w:val="clear"/>
    </w:rPr>
  </w:style>
  <w:style w:type="character" w:styleId="Nevyeenzmnka1" w:customStyle="1">
    <w:name w:val="Nevyřešená zmínka1"/>
    <w:uiPriority w:val="99"/>
    <w:semiHidden w:val="1"/>
    <w:rsid w:val="004E36F0"/>
    <w:rPr>
      <w:rFonts w:cs="Times New Roman"/>
      <w:color w:val="808080"/>
      <w:shd w:color="auto" w:fill="e6e6e6" w:val="clear"/>
    </w:rPr>
  </w:style>
  <w:style w:type="character" w:styleId="Nevyeenzmnka2" w:customStyle="1">
    <w:name w:val="Nevyřešená zmínka2"/>
    <w:uiPriority w:val="99"/>
    <w:semiHidden w:val="1"/>
    <w:rsid w:val="00DB3083"/>
    <w:rPr>
      <w:rFonts w:cs="Times New Roman"/>
      <w:color w:val="808080"/>
      <w:shd w:color="auto" w:fill="e6e6e6" w:val="clear"/>
    </w:rPr>
  </w:style>
  <w:style w:type="character" w:styleId="Nevyeenzmnka3" w:customStyle="1">
    <w:name w:val="Nevyřešená zmínka3"/>
    <w:basedOn w:val="Standardnpsmoodstavce"/>
    <w:uiPriority w:val="99"/>
    <w:semiHidden w:val="1"/>
    <w:unhideWhenUsed w:val="1"/>
    <w:rsid w:val="00A9166B"/>
    <w:rPr>
      <w:color w:val="808080"/>
      <w:shd w:color="auto" w:fill="e6e6e6" w:val="clear"/>
    </w:rPr>
  </w:style>
  <w:style w:type="character" w:styleId="Zdraznn">
    <w:name w:val="Emphasis"/>
    <w:basedOn w:val="Standardnpsmoodstavce"/>
    <w:uiPriority w:val="20"/>
    <w:qFormat w:val="1"/>
    <w:locked w:val="1"/>
    <w:rsid w:val="00D37EB3"/>
    <w:rPr>
      <w:i w:val="1"/>
      <w:iCs w:val="1"/>
    </w:rPr>
  </w:style>
  <w:style w:type="character" w:styleId="Nevyeenzmnka4" w:customStyle="1">
    <w:name w:val="Nevyřešená zmínka4"/>
    <w:basedOn w:val="Standardnpsmoodstavce"/>
    <w:uiPriority w:val="99"/>
    <w:semiHidden w:val="1"/>
    <w:unhideWhenUsed w:val="1"/>
    <w:rsid w:val="00DE13E3"/>
    <w:rPr>
      <w:color w:val="808080"/>
      <w:shd w:color="auto" w:fill="e6e6e6" w:val="clear"/>
    </w:rPr>
  </w:style>
  <w:style w:type="character" w:styleId="Nevyeenzmnka5" w:customStyle="1">
    <w:name w:val="Nevyřešená zmínka5"/>
    <w:basedOn w:val="Standardnpsmoodstavce"/>
    <w:uiPriority w:val="99"/>
    <w:semiHidden w:val="1"/>
    <w:unhideWhenUsed w:val="1"/>
    <w:rsid w:val="000731A0"/>
    <w:rPr>
      <w:color w:val="605e5c"/>
      <w:shd w:color="auto" w:fill="e1dfdd" w:val="clear"/>
    </w:rPr>
  </w:style>
  <w:style w:type="character" w:styleId="gmaildefault" w:customStyle="1">
    <w:name w:val="gmail_default"/>
    <w:basedOn w:val="Standardnpsmoodstavce"/>
    <w:rsid w:val="00C958DC"/>
  </w:style>
  <w:style w:type="character" w:styleId="apple-converted-space" w:customStyle="1">
    <w:name w:val="apple-converted-space"/>
    <w:basedOn w:val="Standardnpsmoodstavce"/>
    <w:rsid w:val="00AE4B86"/>
  </w:style>
  <w:style w:type="character" w:styleId="il" w:customStyle="1">
    <w:name w:val="il"/>
    <w:basedOn w:val="Standardnpsmoodstavce"/>
    <w:rsid w:val="00AE4B86"/>
  </w:style>
  <w:style w:type="paragraph" w:styleId="Textpoznpodarou">
    <w:name w:val="footnote text"/>
    <w:basedOn w:val="Normln"/>
    <w:link w:val="TextpoznpodarouChar"/>
    <w:uiPriority w:val="99"/>
    <w:semiHidden w:val="1"/>
    <w:unhideWhenUsed w:val="1"/>
    <w:rsid w:val="003A335E"/>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val="1"/>
    <w:rsid w:val="003A335E"/>
    <w:rPr>
      <w:lang w:eastAsia="en-US"/>
    </w:rPr>
  </w:style>
  <w:style w:type="character" w:styleId="Znakapoznpodarou">
    <w:name w:val="footnote reference"/>
    <w:basedOn w:val="Standardnpsmoodstavce"/>
    <w:uiPriority w:val="99"/>
    <w:semiHidden w:val="1"/>
    <w:unhideWhenUsed w:val="1"/>
    <w:rsid w:val="003A335E"/>
    <w:rPr>
      <w:vertAlign w:val="superscript"/>
    </w:rPr>
  </w:style>
  <w:style w:type="paragraph" w:styleId="Revize">
    <w:name w:val="Revision"/>
    <w:hidden w:val="1"/>
    <w:uiPriority w:val="99"/>
    <w:semiHidden w:val="1"/>
    <w:rsid w:val="005D6102"/>
    <w:rPr>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press@furchguitars.com" TargetMode="External"/><Relationship Id="rId10" Type="http://schemas.openxmlformats.org/officeDocument/2006/relationships/hyperlink" Target="http://www.furchguitar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furchguit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furchguitars.com" TargetMode="External"/><Relationship Id="rId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KvWDv5udSC3dggJpqv0aXP9n/A==">AMUW2mWJZJ+Xm0/MgMjbH3SzEExvv5ZJhMUAVDOu5UtM6kWrOBpsusBTjbnX97qkmW420dDnZquEUKLJ5sAqIn04FiHvuvQj/K+0BLKcVFo57SId0t75WbPGZi34mEp4KgDg+QNJHncS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2020-11-30T11:50:00Z</dcterms:created>
  <dc:creator>Klára Tomanová</dc:creator>
</cp:coreProperties>
</file>